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9F" w:rsidRPr="00313E79" w:rsidRDefault="00755F9F"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755F9F" w:rsidRPr="00F925A8" w:rsidRDefault="00755F9F"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755F9F" w:rsidRPr="00F925A8" w:rsidRDefault="00755F9F"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755F9F" w:rsidRPr="00F925A8" w:rsidRDefault="00755F9F"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755F9F" w:rsidRPr="00F925A8" w:rsidRDefault="00755F9F"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755F9F" w:rsidRPr="00071D02" w:rsidRDefault="00755F9F" w:rsidP="00071D02">
      <w:pPr>
        <w:spacing w:after="0" w:line="240" w:lineRule="auto"/>
        <w:jc w:val="both"/>
        <w:rPr>
          <w:rFonts w:ascii="Times New Roman" w:hAnsi="Times New Roman" w:cs="Times New Roman"/>
          <w:b/>
          <w:bCs/>
          <w:sz w:val="28"/>
          <w:szCs w:val="28"/>
          <w:lang w:eastAsia="uk-UA"/>
        </w:rPr>
      </w:pPr>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755F9F" w:rsidRPr="00071D02" w:rsidRDefault="00755F9F" w:rsidP="00071D02">
      <w:pPr>
        <w:spacing w:after="0" w:line="240" w:lineRule="auto"/>
        <w:jc w:val="both"/>
        <w:rPr>
          <w:rFonts w:ascii="Times New Roman" w:hAnsi="Times New Roman" w:cs="Times New Roman"/>
          <w:b/>
          <w:bCs/>
          <w:sz w:val="28"/>
          <w:szCs w:val="28"/>
          <w:lang w:eastAsia="uk-UA"/>
        </w:rPr>
      </w:pPr>
      <w:bookmarkStart w:id="5" w:name="n9"/>
      <w:bookmarkEnd w:id="5"/>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755F9F" w:rsidRPr="00F925A8" w:rsidRDefault="00755F9F" w:rsidP="00CB58BB">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2A122E">
        <w:rPr>
          <w:rFonts w:ascii="Times New Roman" w:hAnsi="Times New Roman" w:cs="Times New Roman"/>
          <w:b/>
          <w:bCs/>
          <w:i/>
          <w:iCs/>
          <w:sz w:val="28"/>
          <w:szCs w:val="28"/>
          <w:u w:val="single"/>
        </w:rPr>
        <w:t>Послуги щодо передавання даних і повідомлень (телекомунікаційні послуги: міськ</w:t>
      </w:r>
      <w:r>
        <w:rPr>
          <w:rFonts w:ascii="Times New Roman" w:hAnsi="Times New Roman" w:cs="Times New Roman"/>
          <w:b/>
          <w:bCs/>
          <w:i/>
          <w:iCs/>
          <w:sz w:val="28"/>
          <w:szCs w:val="28"/>
          <w:u w:val="single"/>
        </w:rPr>
        <w:t>и</w:t>
      </w:r>
      <w:r w:rsidRPr="002A122E">
        <w:rPr>
          <w:rFonts w:ascii="Times New Roman" w:hAnsi="Times New Roman" w:cs="Times New Roman"/>
          <w:b/>
          <w:bCs/>
          <w:i/>
          <w:iCs/>
          <w:sz w:val="28"/>
          <w:szCs w:val="28"/>
          <w:u w:val="single"/>
        </w:rPr>
        <w:t>й, міжміськ</w:t>
      </w:r>
      <w:r>
        <w:rPr>
          <w:rFonts w:ascii="Times New Roman" w:hAnsi="Times New Roman" w:cs="Times New Roman"/>
          <w:b/>
          <w:bCs/>
          <w:i/>
          <w:iCs/>
          <w:sz w:val="28"/>
          <w:szCs w:val="28"/>
          <w:u w:val="single"/>
        </w:rPr>
        <w:t>и</w:t>
      </w:r>
      <w:r w:rsidRPr="002A122E">
        <w:rPr>
          <w:rFonts w:ascii="Times New Roman" w:hAnsi="Times New Roman" w:cs="Times New Roman"/>
          <w:b/>
          <w:bCs/>
          <w:i/>
          <w:iCs/>
          <w:sz w:val="28"/>
          <w:szCs w:val="28"/>
          <w:u w:val="single"/>
        </w:rPr>
        <w:t>й зв'язок, абонентна плата та ін.), код за ДК 016</w:t>
      </w:r>
      <w:r>
        <w:rPr>
          <w:rFonts w:ascii="Times New Roman" w:hAnsi="Times New Roman" w:cs="Times New Roman"/>
          <w:b/>
          <w:bCs/>
          <w:i/>
          <w:iCs/>
          <w:sz w:val="28"/>
          <w:szCs w:val="28"/>
          <w:u w:val="single"/>
        </w:rPr>
        <w:t>:</w:t>
      </w:r>
      <w:r w:rsidRPr="002A122E">
        <w:rPr>
          <w:rFonts w:ascii="Times New Roman" w:hAnsi="Times New Roman" w:cs="Times New Roman"/>
          <w:b/>
          <w:bCs/>
          <w:i/>
          <w:iCs/>
          <w:sz w:val="28"/>
          <w:szCs w:val="28"/>
          <w:u w:val="single"/>
        </w:rPr>
        <w:t>2010:  61.10.1</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Pr>
          <w:rFonts w:ascii="Times New Roman" w:hAnsi="Times New Roman" w:cs="Times New Roman"/>
          <w:sz w:val="28"/>
          <w:szCs w:val="28"/>
          <w:lang w:eastAsia="uk-UA"/>
        </w:rPr>
        <w:t>.</w:t>
      </w:r>
      <w:r w:rsidRPr="00CB58BB">
        <w:rPr>
          <w:b/>
          <w:bCs/>
          <w:i/>
          <w:iCs/>
          <w:sz w:val="28"/>
          <w:szCs w:val="28"/>
          <w:u w:val="single"/>
        </w:rPr>
        <w:t xml:space="preserve"> </w:t>
      </w:r>
      <w:r w:rsidRPr="00CB58BB">
        <w:rPr>
          <w:rFonts w:ascii="Times New Roman" w:hAnsi="Times New Roman" w:cs="Times New Roman"/>
          <w:b/>
          <w:bCs/>
          <w:i/>
          <w:iCs/>
          <w:sz w:val="28"/>
          <w:szCs w:val="28"/>
          <w:u w:val="single"/>
        </w:rPr>
        <w:t>телекомунікаційні послуги: міський, міжміський зв'язок, абонентна плата та ін.</w:t>
      </w:r>
    </w:p>
    <w:p w:rsidR="00755F9F" w:rsidRDefault="00755F9F" w:rsidP="00CB58BB">
      <w:pPr>
        <w:spacing w:after="0" w:line="240" w:lineRule="auto"/>
        <w:jc w:val="both"/>
        <w:rPr>
          <w:rFonts w:ascii="Times New Roman" w:hAnsi="Times New Roman" w:cs="Times New Roman"/>
          <w:sz w:val="28"/>
          <w:szCs w:val="28"/>
          <w:lang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755F9F" w:rsidRPr="0041536D" w:rsidRDefault="00755F9F" w:rsidP="00CB58BB">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color w:val="000000"/>
          <w:sz w:val="28"/>
          <w:szCs w:val="28"/>
          <w:u w:val="single"/>
        </w:rPr>
        <w:t xml:space="preserve">вул. </w:t>
      </w:r>
      <w:r w:rsidRPr="0041536D">
        <w:rPr>
          <w:rFonts w:ascii="Times New Roman" w:hAnsi="Times New Roman" w:cs="Times New Roman"/>
          <w:b/>
          <w:bCs/>
          <w:i/>
          <w:iCs/>
          <w:color w:val="000000"/>
          <w:sz w:val="28"/>
          <w:szCs w:val="28"/>
          <w:u w:val="single"/>
        </w:rPr>
        <w:t>вул.  Хрещатик, буд. №26, м. Київ</w:t>
      </w:r>
    </w:p>
    <w:p w:rsidR="00755F9F" w:rsidRPr="00071D02" w:rsidRDefault="00755F9F" w:rsidP="00071D02">
      <w:pPr>
        <w:spacing w:after="0" w:line="240" w:lineRule="auto"/>
        <w:jc w:val="both"/>
        <w:rPr>
          <w:rFonts w:ascii="Times New Roman" w:hAnsi="Times New Roman" w:cs="Times New Roman"/>
          <w:b/>
          <w:bCs/>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bookmarkStart w:id="10" w:name="n14"/>
      <w:bookmarkEnd w:id="10"/>
      <w:r>
        <w:rPr>
          <w:rFonts w:ascii="Times New Roman" w:hAnsi="Times New Roman" w:cs="Times New Roman"/>
          <w:b/>
          <w:bCs/>
          <w:i/>
          <w:iCs/>
          <w:sz w:val="28"/>
          <w:szCs w:val="28"/>
          <w:u w:val="single"/>
          <w:lang w:eastAsia="uk-UA"/>
        </w:rPr>
        <w:t>січень-грудень 2</w:t>
      </w:r>
      <w:r w:rsidRPr="006F45E2">
        <w:rPr>
          <w:rFonts w:ascii="Times New Roman" w:hAnsi="Times New Roman" w:cs="Times New Roman"/>
          <w:b/>
          <w:bCs/>
          <w:i/>
          <w:iCs/>
          <w:sz w:val="28"/>
          <w:szCs w:val="28"/>
          <w:u w:val="single"/>
          <w:lang w:eastAsia="uk-UA"/>
        </w:rPr>
        <w:t>015</w:t>
      </w:r>
      <w:r>
        <w:rPr>
          <w:rFonts w:ascii="Times New Roman" w:hAnsi="Times New Roman" w:cs="Times New Roman"/>
          <w:b/>
          <w:bCs/>
          <w:i/>
          <w:iCs/>
          <w:sz w:val="28"/>
          <w:szCs w:val="28"/>
          <w:u w:val="single"/>
          <w:lang w:eastAsia="uk-UA"/>
        </w:rPr>
        <w:t xml:space="preserve"> року</w:t>
      </w:r>
    </w:p>
    <w:p w:rsidR="00755F9F" w:rsidRDefault="00755F9F" w:rsidP="00071D02">
      <w:pPr>
        <w:spacing w:after="0" w:line="240" w:lineRule="auto"/>
        <w:jc w:val="both"/>
        <w:rPr>
          <w:rFonts w:ascii="Times New Roman" w:hAnsi="Times New Roman" w:cs="Times New Roman"/>
          <w:b/>
          <w:bCs/>
          <w:sz w:val="28"/>
          <w:szCs w:val="28"/>
          <w:lang w:eastAsia="uk-UA"/>
        </w:rPr>
      </w:pPr>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755F9F" w:rsidRPr="00071D02" w:rsidRDefault="00755F9F"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755F9F" w:rsidRPr="00313E79" w:rsidRDefault="00755F9F"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2</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044761, №189(11.02.2015)</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2</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044761/1, №189(11.02.2015)</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615319">
        <w:rPr>
          <w:rFonts w:ascii="Times New Roman" w:hAnsi="Times New Roman" w:cs="Times New Roman"/>
          <w:b/>
          <w:bCs/>
          <w:i/>
          <w:iCs/>
          <w:sz w:val="28"/>
          <w:szCs w:val="28"/>
          <w:u w:val="single"/>
          <w:lang w:eastAsia="uk-UA"/>
        </w:rPr>
        <w:t>17.02.2015, №054029, №194(17.02.2015)</w:t>
      </w:r>
    </w:p>
    <w:p w:rsidR="00755F9F" w:rsidRPr="00071D02" w:rsidRDefault="00755F9F" w:rsidP="00071D02">
      <w:pPr>
        <w:spacing w:after="0" w:line="240" w:lineRule="auto"/>
        <w:jc w:val="both"/>
        <w:rPr>
          <w:rFonts w:ascii="Times New Roman" w:hAnsi="Times New Roman" w:cs="Times New Roman"/>
          <w:b/>
          <w:bCs/>
          <w:sz w:val="28"/>
          <w:szCs w:val="28"/>
          <w:lang w:eastAsia="uk-UA"/>
        </w:rPr>
      </w:pPr>
      <w:bookmarkStart w:id="15" w:name="n19"/>
      <w:bookmarkEnd w:id="15"/>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8C7412">
        <w:rPr>
          <w:rFonts w:ascii="Times New Roman" w:hAnsi="Times New Roman" w:cs="Times New Roman"/>
          <w:b/>
          <w:bCs/>
          <w:i/>
          <w:iCs/>
          <w:sz w:val="28"/>
          <w:szCs w:val="28"/>
          <w:u w:val="single"/>
          <w:lang w:eastAsia="uk-UA"/>
        </w:rPr>
        <w:t>02.02.2015; 09.02.2015</w:t>
      </w:r>
    </w:p>
    <w:p w:rsidR="00755F9F" w:rsidRPr="00071D02" w:rsidRDefault="00755F9F" w:rsidP="00071D02">
      <w:pPr>
        <w:spacing w:after="0" w:line="240" w:lineRule="auto"/>
        <w:jc w:val="both"/>
        <w:rPr>
          <w:rFonts w:ascii="Times New Roman" w:hAnsi="Times New Roman" w:cs="Times New Roman"/>
          <w:b/>
          <w:bCs/>
          <w:sz w:val="28"/>
          <w:szCs w:val="28"/>
          <w:lang w:eastAsia="uk-UA"/>
        </w:rPr>
      </w:pPr>
      <w:bookmarkStart w:id="16" w:name="n20"/>
      <w:bookmarkEnd w:id="16"/>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755F9F" w:rsidRDefault="00755F9F" w:rsidP="00CB58BB">
      <w:pPr>
        <w:spacing w:after="0" w:line="240" w:lineRule="auto"/>
        <w:jc w:val="both"/>
        <w:rPr>
          <w:rFonts w:ascii="Times New Roman" w:hAnsi="Times New Roman" w:cs="Times New Roman"/>
          <w:sz w:val="28"/>
          <w:szCs w:val="28"/>
          <w:lang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bookmarkStart w:id="18" w:name="n22"/>
      <w:bookmarkEnd w:id="18"/>
      <w:r w:rsidRPr="001B33D4">
        <w:rPr>
          <w:rFonts w:ascii="Times New Roman" w:hAnsi="Times New Roman" w:cs="Times New Roman"/>
          <w:b/>
          <w:bCs/>
          <w:i/>
          <w:iCs/>
          <w:color w:val="000000"/>
          <w:sz w:val="28"/>
          <w:szCs w:val="28"/>
          <w:u w:val="single"/>
        </w:rPr>
        <w:t xml:space="preserve">Публічне акціонерне товариство </w:t>
      </w:r>
      <w:r w:rsidRPr="001B33D4">
        <w:rPr>
          <w:rFonts w:ascii="Times New Roman" w:hAnsi="Times New Roman" w:cs="Times New Roman"/>
          <w:b/>
          <w:bCs/>
          <w:i/>
          <w:iCs/>
          <w:sz w:val="28"/>
          <w:szCs w:val="28"/>
          <w:u w:val="single"/>
        </w:rPr>
        <w:t>«Укртелеком», Департамент розвитку сегмента державних</w:t>
      </w:r>
      <w:r w:rsidRPr="004A7FDD">
        <w:rPr>
          <w:b/>
          <w:bCs/>
          <w:i/>
          <w:iCs/>
          <w:sz w:val="28"/>
          <w:szCs w:val="28"/>
          <w:u w:val="single"/>
        </w:rPr>
        <w:t xml:space="preserve"> </w:t>
      </w:r>
      <w:r w:rsidRPr="001B33D4">
        <w:rPr>
          <w:rFonts w:ascii="Times New Roman" w:hAnsi="Times New Roman" w:cs="Times New Roman"/>
          <w:b/>
          <w:bCs/>
          <w:i/>
          <w:iCs/>
          <w:sz w:val="28"/>
          <w:szCs w:val="28"/>
          <w:u w:val="single"/>
        </w:rPr>
        <w:t>установ</w:t>
      </w:r>
      <w:r w:rsidRPr="001B33D4">
        <w:rPr>
          <w:rFonts w:ascii="Times New Roman" w:hAnsi="Times New Roman" w:cs="Times New Roman"/>
          <w:sz w:val="28"/>
          <w:szCs w:val="28"/>
          <w:lang w:eastAsia="uk-UA"/>
        </w:rPr>
        <w:t xml:space="preserve"> </w:t>
      </w:r>
    </w:p>
    <w:p w:rsidR="00755F9F" w:rsidRDefault="00755F9F" w:rsidP="0022589E">
      <w:pPr>
        <w:pStyle w:val="HTMLPreformatted"/>
        <w:widowControl w:val="0"/>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p>
    <w:p w:rsidR="00755F9F" w:rsidRPr="001B33D4" w:rsidRDefault="00755F9F" w:rsidP="00CB58BB">
      <w:pPr>
        <w:pStyle w:val="HTMLPreformatted"/>
        <w:widowControl w:val="0"/>
        <w:ind w:firstLine="720"/>
        <w:jc w:val="both"/>
        <w:rPr>
          <w:rFonts w:ascii="Times New Roman" w:hAnsi="Times New Roman" w:cs="Times New Roman"/>
          <w:b/>
          <w:bCs/>
          <w:i/>
          <w:iCs/>
          <w:color w:val="000000"/>
          <w:sz w:val="28"/>
          <w:szCs w:val="28"/>
          <w:u w:val="single"/>
          <w:lang w:eastAsia="uk-UA"/>
        </w:rPr>
      </w:pPr>
      <w:r w:rsidRPr="001B33D4">
        <w:rPr>
          <w:rFonts w:ascii="Times New Roman" w:hAnsi="Times New Roman" w:cs="Times New Roman"/>
          <w:b/>
          <w:bCs/>
          <w:i/>
          <w:iCs/>
          <w:sz w:val="28"/>
          <w:szCs w:val="28"/>
          <w:u w:val="single"/>
          <w:lang w:eastAsia="uk-UA"/>
        </w:rPr>
        <w:t xml:space="preserve">Код за ЄДРПОУ </w:t>
      </w:r>
      <w:r w:rsidRPr="001B33D4">
        <w:rPr>
          <w:rFonts w:ascii="Times New Roman" w:hAnsi="Times New Roman" w:cs="Times New Roman"/>
          <w:b/>
          <w:bCs/>
          <w:i/>
          <w:iCs/>
          <w:color w:val="000000"/>
          <w:sz w:val="28"/>
          <w:szCs w:val="28"/>
          <w:u w:val="single"/>
          <w:lang w:eastAsia="uk-UA"/>
        </w:rPr>
        <w:t>21560766</w:t>
      </w:r>
    </w:p>
    <w:p w:rsidR="00755F9F" w:rsidRPr="001B33D4" w:rsidRDefault="00755F9F" w:rsidP="00CB58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i/>
          <w:iCs/>
          <w:color w:val="000000"/>
          <w:sz w:val="28"/>
          <w:szCs w:val="28"/>
          <w:u w:val="single"/>
          <w:lang w:eastAsia="uk-UA"/>
        </w:rPr>
      </w:pPr>
      <w:r w:rsidRPr="001B33D4">
        <w:rPr>
          <w:rFonts w:ascii="Times New Roman" w:hAnsi="Times New Roman" w:cs="Times New Roman"/>
          <w:b/>
          <w:bCs/>
          <w:i/>
          <w:iCs/>
          <w:sz w:val="28"/>
          <w:szCs w:val="28"/>
          <w:u w:val="single"/>
          <w:lang w:eastAsia="uk-UA"/>
        </w:rPr>
        <w:t xml:space="preserve">Код за ЄДРПОУ </w:t>
      </w:r>
      <w:r w:rsidRPr="001B33D4">
        <w:rPr>
          <w:rFonts w:ascii="Times New Roman" w:hAnsi="Times New Roman" w:cs="Times New Roman"/>
          <w:b/>
          <w:bCs/>
          <w:i/>
          <w:iCs/>
          <w:color w:val="000000"/>
          <w:sz w:val="28"/>
          <w:szCs w:val="28"/>
          <w:u w:val="single"/>
          <w:lang w:eastAsia="uk-UA"/>
        </w:rPr>
        <w:t>0</w:t>
      </w:r>
      <w:r>
        <w:rPr>
          <w:rFonts w:ascii="Times New Roman" w:hAnsi="Times New Roman" w:cs="Times New Roman"/>
          <w:b/>
          <w:bCs/>
          <w:i/>
          <w:iCs/>
          <w:color w:val="000000"/>
          <w:sz w:val="28"/>
          <w:szCs w:val="28"/>
          <w:u w:val="single"/>
          <w:lang w:val="en-US" w:eastAsia="uk-UA"/>
        </w:rPr>
        <w:t>1</w:t>
      </w:r>
      <w:bookmarkStart w:id="19" w:name="_GoBack"/>
      <w:bookmarkEnd w:id="19"/>
      <w:r w:rsidRPr="001B33D4">
        <w:rPr>
          <w:rFonts w:ascii="Times New Roman" w:hAnsi="Times New Roman" w:cs="Times New Roman"/>
          <w:b/>
          <w:bCs/>
          <w:i/>
          <w:iCs/>
          <w:color w:val="000000"/>
          <w:sz w:val="28"/>
          <w:szCs w:val="28"/>
          <w:u w:val="single"/>
          <w:lang w:eastAsia="uk-UA"/>
        </w:rPr>
        <w:t>189910</w:t>
      </w:r>
    </w:p>
    <w:p w:rsidR="00755F9F" w:rsidRPr="00313E79" w:rsidRDefault="00755F9F" w:rsidP="00071D02">
      <w:pPr>
        <w:spacing w:after="0" w:line="240" w:lineRule="auto"/>
        <w:jc w:val="both"/>
        <w:rPr>
          <w:rFonts w:ascii="Times New Roman" w:hAnsi="Times New Roman" w:cs="Times New Roman"/>
          <w:sz w:val="28"/>
          <w:szCs w:val="28"/>
          <w:lang w:eastAsia="uk-UA"/>
        </w:rPr>
      </w:pPr>
    </w:p>
    <w:p w:rsidR="00755F9F" w:rsidRDefault="00755F9F" w:rsidP="0022589E">
      <w:pPr>
        <w:spacing w:after="0" w:line="240" w:lineRule="auto"/>
        <w:jc w:val="both"/>
        <w:rPr>
          <w:rFonts w:ascii="Times New Roman" w:hAnsi="Times New Roman" w:cs="Times New Roman"/>
          <w:sz w:val="28"/>
          <w:szCs w:val="28"/>
          <w:lang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p>
    <w:p w:rsidR="00755F9F" w:rsidRPr="00F925A8" w:rsidRDefault="00755F9F" w:rsidP="006E677C">
      <w:pPr>
        <w:spacing w:after="0" w:line="240" w:lineRule="auto"/>
        <w:ind w:firstLine="709"/>
        <w:jc w:val="both"/>
        <w:rPr>
          <w:rFonts w:ascii="Times New Roman" w:hAnsi="Times New Roman" w:cs="Times New Roman"/>
          <w:sz w:val="28"/>
          <w:szCs w:val="28"/>
          <w:lang w:eastAsia="uk-UA"/>
        </w:rPr>
      </w:pPr>
      <w:r w:rsidRPr="001B33D4">
        <w:rPr>
          <w:rFonts w:ascii="Times New Roman" w:hAnsi="Times New Roman" w:cs="Times New Roman"/>
          <w:b/>
          <w:bCs/>
          <w:i/>
          <w:iCs/>
          <w:sz w:val="28"/>
          <w:szCs w:val="28"/>
          <w:u w:val="single"/>
        </w:rPr>
        <w:t>бульвар Т. Шевченка, 18, м. Київ, 01601, тел. (044) 235-46-35, факс (044) 235-47-88; вул. Московська, 23, м. Київ, 01033, тел. (044) 235-46-35, факс (044) 235-47-88</w:t>
      </w:r>
    </w:p>
    <w:p w:rsidR="00755F9F" w:rsidRPr="00F925A8" w:rsidRDefault="00755F9F" w:rsidP="0001454C">
      <w:pPr>
        <w:spacing w:after="0" w:line="240" w:lineRule="auto"/>
        <w:jc w:val="both"/>
        <w:rPr>
          <w:rFonts w:ascii="Times New Roman" w:hAnsi="Times New Roman" w:cs="Times New Roman"/>
          <w:sz w:val="28"/>
          <w:szCs w:val="28"/>
          <w:lang w:eastAsia="uk-UA"/>
        </w:rPr>
      </w:pPr>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sidRPr="00F925A8">
        <w:rPr>
          <w:rFonts w:ascii="Times New Roman" w:hAnsi="Times New Roman" w:cs="Times New Roman"/>
          <w:b/>
          <w:bCs/>
          <w:i/>
          <w:iCs/>
          <w:sz w:val="28"/>
          <w:szCs w:val="28"/>
          <w:u w:val="single"/>
          <w:lang w:eastAsia="uk-UA"/>
        </w:rPr>
        <w:t>1</w:t>
      </w:r>
      <w:r>
        <w:rPr>
          <w:rFonts w:ascii="Times New Roman" w:hAnsi="Times New Roman" w:cs="Times New Roman"/>
          <w:b/>
          <w:bCs/>
          <w:i/>
          <w:iCs/>
          <w:sz w:val="28"/>
          <w:szCs w:val="28"/>
          <w:u w:val="single"/>
          <w:lang w:eastAsia="uk-UA"/>
        </w:rPr>
        <w:t>2</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2</w:t>
      </w:r>
      <w:r w:rsidRPr="00F925A8">
        <w:rPr>
          <w:rFonts w:ascii="Times New Roman" w:hAnsi="Times New Roman" w:cs="Times New Roman"/>
          <w:b/>
          <w:bCs/>
          <w:i/>
          <w:iCs/>
          <w:sz w:val="28"/>
          <w:szCs w:val="28"/>
          <w:u w:val="single"/>
          <w:lang w:eastAsia="uk-UA"/>
        </w:rPr>
        <w:t>.2015</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sidRPr="001B16F7">
        <w:rPr>
          <w:rFonts w:ascii="Times New Roman" w:hAnsi="Times New Roman" w:cs="Times New Roman"/>
          <w:b/>
          <w:bCs/>
          <w:i/>
          <w:iCs/>
          <w:sz w:val="28"/>
          <w:szCs w:val="28"/>
          <w:u w:val="single"/>
          <w:lang w:eastAsia="uk-UA"/>
        </w:rPr>
        <w:t>2</w:t>
      </w:r>
      <w:r w:rsidRPr="001B16F7">
        <w:rPr>
          <w:rFonts w:ascii="Times New Roman" w:hAnsi="Times New Roman" w:cs="Times New Roman"/>
          <w:b/>
          <w:bCs/>
          <w:i/>
          <w:iCs/>
          <w:sz w:val="28"/>
          <w:szCs w:val="28"/>
          <w:u w:val="single"/>
          <w:lang w:val="en-US" w:eastAsia="uk-UA"/>
        </w:rPr>
        <w:t>6</w:t>
      </w:r>
      <w:r w:rsidRPr="001B16F7">
        <w:rPr>
          <w:rFonts w:ascii="Times New Roman" w:hAnsi="Times New Roman" w:cs="Times New Roman"/>
          <w:b/>
          <w:bCs/>
          <w:i/>
          <w:iCs/>
          <w:sz w:val="28"/>
          <w:szCs w:val="28"/>
          <w:u w:val="single"/>
          <w:lang w:eastAsia="uk-UA"/>
        </w:rPr>
        <w:t>.02.2015</w:t>
      </w:r>
    </w:p>
    <w:p w:rsidR="00755F9F" w:rsidRDefault="00755F9F"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755F9F" w:rsidRDefault="00755F9F"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9639"/>
      </w:tblGrid>
      <w:tr w:rsidR="00755F9F" w:rsidRPr="00424762">
        <w:trPr>
          <w:tblCellSpacing w:w="0" w:type="dxa"/>
        </w:trPr>
        <w:tc>
          <w:tcPr>
            <w:tcW w:w="8930" w:type="dxa"/>
          </w:tcPr>
          <w:p w:rsidR="00755F9F" w:rsidRPr="00F925A8" w:rsidRDefault="00755F9F" w:rsidP="00FE69C0">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270</w:t>
            </w:r>
            <w:r w:rsidRPr="00F925A8">
              <w:rPr>
                <w:rFonts w:ascii="Times New Roman" w:hAnsi="Times New Roman" w:cs="Times New Roman"/>
                <w:b/>
                <w:bCs/>
                <w:i/>
                <w:iCs/>
                <w:sz w:val="28"/>
                <w:szCs w:val="28"/>
                <w:u w:val="single"/>
                <w:lang w:eastAsia="uk-UA"/>
              </w:rPr>
              <w:t> </w:t>
            </w:r>
            <w:r>
              <w:rPr>
                <w:rFonts w:ascii="Times New Roman" w:hAnsi="Times New Roman" w:cs="Times New Roman"/>
                <w:b/>
                <w:bCs/>
                <w:i/>
                <w:iCs/>
                <w:sz w:val="28"/>
                <w:szCs w:val="28"/>
                <w:u w:val="single"/>
                <w:lang w:eastAsia="uk-UA"/>
              </w:rPr>
              <w:t>000</w:t>
            </w:r>
            <w:r w:rsidRPr="00F925A8">
              <w:rPr>
                <w:rFonts w:ascii="Times New Roman" w:hAnsi="Times New Roman" w:cs="Times New Roman"/>
                <w:b/>
                <w:bCs/>
                <w:i/>
                <w:iCs/>
                <w:sz w:val="28"/>
                <w:szCs w:val="28"/>
                <w:u w:val="single"/>
                <w:lang w:eastAsia="uk-UA"/>
              </w:rPr>
              <w:t xml:space="preserve">  грн.00 </w:t>
            </w:r>
            <w:r w:rsidRPr="0042476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t xml:space="preserve"> </w:t>
            </w:r>
            <w:r w:rsidRPr="00F925A8">
              <w:rPr>
                <w:rFonts w:ascii="Times New Roman" w:hAnsi="Times New Roman" w:cs="Times New Roman"/>
                <w:sz w:val="28"/>
                <w:szCs w:val="28"/>
                <w:lang w:eastAsia="uk-UA"/>
              </w:rPr>
              <w:br/>
              <w:t>                          (цифрами)</w:t>
            </w:r>
          </w:p>
        </w:tc>
      </w:tr>
      <w:tr w:rsidR="00755F9F" w:rsidRPr="00424762">
        <w:trPr>
          <w:tblCellSpacing w:w="0" w:type="dxa"/>
        </w:trPr>
        <w:tc>
          <w:tcPr>
            <w:tcW w:w="8930" w:type="dxa"/>
          </w:tcPr>
          <w:p w:rsidR="00755F9F" w:rsidRPr="00F925A8" w:rsidRDefault="00755F9F" w:rsidP="00FE69C0">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 двісті сімдесят тисяч </w:t>
            </w:r>
            <w:r w:rsidRPr="00F925A8">
              <w:rPr>
                <w:rFonts w:ascii="Times New Roman" w:hAnsi="Times New Roman" w:cs="Times New Roman"/>
                <w:b/>
                <w:bCs/>
                <w:i/>
                <w:iCs/>
                <w:sz w:val="28"/>
                <w:szCs w:val="28"/>
                <w:u w:val="single"/>
                <w:lang w:eastAsia="uk-UA"/>
              </w:rPr>
              <w:t xml:space="preserve">грн. 00 </w:t>
            </w:r>
            <w:r w:rsidRPr="00424762">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755F9F" w:rsidRDefault="00755F9F"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755F9F" w:rsidRPr="00424762">
        <w:trPr>
          <w:tblCellSpacing w:w="0" w:type="dxa"/>
        </w:trPr>
        <w:tc>
          <w:tcPr>
            <w:tcW w:w="316" w:type="dxa"/>
          </w:tcPr>
          <w:p w:rsidR="00755F9F" w:rsidRPr="00313E79" w:rsidRDefault="00755F9F" w:rsidP="00071D02">
            <w:pPr>
              <w:spacing w:after="0" w:line="240" w:lineRule="auto"/>
              <w:jc w:val="both"/>
              <w:rPr>
                <w:rFonts w:ascii="Times New Roman" w:hAnsi="Times New Roman" w:cs="Times New Roman"/>
                <w:sz w:val="28"/>
                <w:szCs w:val="28"/>
                <w:lang w:eastAsia="uk-UA"/>
              </w:rPr>
            </w:pPr>
            <w:bookmarkStart w:id="25" w:name="n28"/>
            <w:bookmarkEnd w:id="25"/>
          </w:p>
        </w:tc>
      </w:tr>
      <w:tr w:rsidR="00755F9F" w:rsidRPr="00424762">
        <w:trPr>
          <w:tblCellSpacing w:w="0" w:type="dxa"/>
        </w:trPr>
        <w:tc>
          <w:tcPr>
            <w:tcW w:w="316" w:type="dxa"/>
          </w:tcPr>
          <w:p w:rsidR="00755F9F" w:rsidRPr="00313E79" w:rsidRDefault="00755F9F" w:rsidP="00071D02">
            <w:pPr>
              <w:spacing w:after="0" w:line="240" w:lineRule="auto"/>
              <w:jc w:val="both"/>
              <w:rPr>
                <w:rFonts w:ascii="Times New Roman" w:hAnsi="Times New Roman" w:cs="Times New Roman"/>
                <w:sz w:val="28"/>
                <w:szCs w:val="28"/>
                <w:lang w:eastAsia="uk-UA"/>
              </w:rPr>
            </w:pPr>
          </w:p>
        </w:tc>
      </w:tr>
    </w:tbl>
    <w:p w:rsidR="00755F9F" w:rsidRDefault="00755F9F"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755F9F" w:rsidRPr="00071D02" w:rsidRDefault="00755F9F" w:rsidP="00071D02">
      <w:pPr>
        <w:spacing w:after="0" w:line="240" w:lineRule="auto"/>
        <w:jc w:val="both"/>
        <w:rPr>
          <w:rFonts w:ascii="Times New Roman" w:hAnsi="Times New Roman" w:cs="Times New Roman"/>
          <w:b/>
          <w:bCs/>
          <w:sz w:val="28"/>
          <w:szCs w:val="28"/>
          <w:lang w:eastAsia="uk-UA"/>
        </w:rPr>
      </w:pPr>
      <w:bookmarkStart w:id="27" w:name="n30"/>
      <w:bookmarkEnd w:id="27"/>
    </w:p>
    <w:p w:rsidR="00755F9F" w:rsidRPr="00313E79" w:rsidRDefault="00755F9F"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755F9F" w:rsidRPr="00313E79" w:rsidRDefault="00755F9F"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755F9F" w:rsidRPr="00071D02" w:rsidRDefault="00755F9F"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755F9F" w:rsidRPr="00071D02" w:rsidRDefault="00755F9F" w:rsidP="00071D02">
      <w:pPr>
        <w:spacing w:after="0" w:line="240" w:lineRule="auto"/>
        <w:ind w:firstLine="708"/>
        <w:jc w:val="both"/>
        <w:rPr>
          <w:rFonts w:ascii="Times New Roman" w:hAnsi="Times New Roman" w:cs="Times New Roman"/>
          <w:b/>
          <w:bCs/>
          <w:sz w:val="28"/>
          <w:szCs w:val="28"/>
          <w:lang w:eastAsia="uk-UA"/>
        </w:rPr>
      </w:pPr>
    </w:p>
    <w:p w:rsidR="00755F9F" w:rsidRPr="00071D02" w:rsidRDefault="00755F9F" w:rsidP="00071D02">
      <w:pPr>
        <w:spacing w:after="0" w:line="240" w:lineRule="auto"/>
        <w:ind w:firstLine="708"/>
        <w:jc w:val="both"/>
        <w:rPr>
          <w:rFonts w:ascii="Times New Roman" w:hAnsi="Times New Roman" w:cs="Times New Roman"/>
          <w:b/>
          <w:bCs/>
          <w:sz w:val="28"/>
          <w:szCs w:val="28"/>
          <w:lang w:eastAsia="uk-UA"/>
        </w:rPr>
      </w:pPr>
    </w:p>
    <w:p w:rsidR="00755F9F" w:rsidRPr="00071D02" w:rsidRDefault="00755F9F" w:rsidP="00071D02">
      <w:pPr>
        <w:spacing w:after="0" w:line="240" w:lineRule="auto"/>
        <w:ind w:firstLine="708"/>
        <w:jc w:val="both"/>
        <w:rPr>
          <w:rFonts w:ascii="Times New Roman" w:hAnsi="Times New Roman" w:cs="Times New Roman"/>
          <w:b/>
          <w:bCs/>
          <w:sz w:val="28"/>
          <w:szCs w:val="28"/>
          <w:lang w:eastAsia="uk-UA"/>
        </w:rPr>
      </w:pPr>
    </w:p>
    <w:p w:rsidR="00755F9F" w:rsidRPr="00071D02" w:rsidRDefault="00755F9F" w:rsidP="00071D02">
      <w:pPr>
        <w:spacing w:after="0" w:line="240" w:lineRule="auto"/>
        <w:ind w:firstLine="708"/>
        <w:jc w:val="both"/>
        <w:rPr>
          <w:rFonts w:ascii="Times New Roman" w:hAnsi="Times New Roman" w:cs="Times New Roman"/>
          <w:b/>
          <w:bCs/>
          <w:sz w:val="28"/>
          <w:szCs w:val="28"/>
          <w:lang w:eastAsia="uk-UA"/>
        </w:rPr>
      </w:pPr>
    </w:p>
    <w:p w:rsidR="00755F9F" w:rsidRPr="00313E79" w:rsidRDefault="00755F9F"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755F9F" w:rsidRPr="00313E79" w:rsidRDefault="00755F9F"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755F9F" w:rsidRPr="00313E79" w:rsidRDefault="00755F9F" w:rsidP="00313E79">
      <w:pPr>
        <w:spacing w:before="100" w:beforeAutospacing="1" w:after="100" w:afterAutospacing="1" w:line="240" w:lineRule="auto"/>
        <w:rPr>
          <w:rFonts w:ascii="Times New Roman" w:hAnsi="Times New Roman" w:cs="Times New Roman"/>
          <w:b/>
          <w:bCs/>
          <w:sz w:val="24"/>
          <w:szCs w:val="24"/>
          <w:lang w:val="ru-RU"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Default="00755F9F" w:rsidP="00313E79">
      <w:pPr>
        <w:spacing w:before="100" w:beforeAutospacing="1" w:after="100" w:afterAutospacing="1" w:line="240" w:lineRule="auto"/>
        <w:rPr>
          <w:rFonts w:ascii="Times New Roman" w:hAnsi="Times New Roman" w:cs="Times New Roman"/>
          <w:sz w:val="24"/>
          <w:szCs w:val="24"/>
          <w:lang w:eastAsia="uk-UA"/>
        </w:rPr>
      </w:pP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755F9F" w:rsidRPr="00424762">
        <w:trPr>
          <w:tblCellSpacing w:w="0" w:type="dxa"/>
        </w:trPr>
        <w:tc>
          <w:tcPr>
            <w:tcW w:w="21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755F9F" w:rsidRPr="00313E79" w:rsidRDefault="00755F9F" w:rsidP="00313E79">
      <w:pPr>
        <w:spacing w:after="0" w:line="240" w:lineRule="auto"/>
        <w:rPr>
          <w:rFonts w:ascii="Times New Roman" w:hAnsi="Times New Roman" w:cs="Times New Roman"/>
          <w:sz w:val="24"/>
          <w:szCs w:val="24"/>
          <w:lang w:eastAsia="uk-UA"/>
        </w:rPr>
      </w:pPr>
      <w:bookmarkStart w:id="31" w:name="n58"/>
      <w:bookmarkEnd w:id="31"/>
      <w:r w:rsidRPr="00B83547">
        <w:rPr>
          <w:rFonts w:ascii="Times New Roman" w:hAnsi="Times New Roman" w:cs="Times New Roman"/>
          <w:sz w:val="24"/>
          <w:szCs w:val="24"/>
          <w:lang w:eastAsia="uk-UA"/>
        </w:rPr>
        <w:pict>
          <v:rect id="_x0000_i1025" style="width:0;height:1.5pt" o:hralign="center" o:hrstd="t" o:hr="t" fillcolor="#a0a0a0" stroked="f"/>
        </w:pic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755F9F" w:rsidRPr="00424762">
        <w:trPr>
          <w:tblCellSpacing w:w="0" w:type="dxa"/>
        </w:trPr>
        <w:tc>
          <w:tcPr>
            <w:tcW w:w="30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755F9F" w:rsidRPr="00424762">
        <w:trPr>
          <w:tblCellSpacing w:w="0" w:type="dxa"/>
        </w:trPr>
        <w:tc>
          <w:tcPr>
            <w:tcW w:w="30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755F9F" w:rsidRPr="00424762">
        <w:trPr>
          <w:tblCellSpacing w:w="0" w:type="dxa"/>
        </w:trPr>
        <w:tc>
          <w:tcPr>
            <w:tcW w:w="2100" w:type="pct"/>
          </w:tcPr>
          <w:p w:rsidR="00755F9F" w:rsidRPr="00313E79" w:rsidRDefault="00755F9F"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755F9F" w:rsidRPr="00313E79" w:rsidRDefault="00755F9F" w:rsidP="00313E79">
            <w:pPr>
              <w:spacing w:before="100" w:beforeAutospacing="1" w:after="240" w:line="240" w:lineRule="auto"/>
              <w:rPr>
                <w:rFonts w:ascii="Times New Roman" w:hAnsi="Times New Roman" w:cs="Times New Roman"/>
                <w:sz w:val="24"/>
                <w:szCs w:val="24"/>
                <w:lang w:eastAsia="uk-UA"/>
              </w:rPr>
            </w:pPr>
          </w:p>
        </w:tc>
      </w:tr>
    </w:tbl>
    <w:p w:rsidR="00755F9F" w:rsidRDefault="00755F9F"/>
    <w:sectPr w:rsidR="00755F9F"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151FCE"/>
    <w:rsid w:val="001B16F7"/>
    <w:rsid w:val="001B33D4"/>
    <w:rsid w:val="0022589E"/>
    <w:rsid w:val="00262203"/>
    <w:rsid w:val="002A122E"/>
    <w:rsid w:val="00313E79"/>
    <w:rsid w:val="0041536D"/>
    <w:rsid w:val="00424762"/>
    <w:rsid w:val="00475C0E"/>
    <w:rsid w:val="004A7FDD"/>
    <w:rsid w:val="00533554"/>
    <w:rsid w:val="005F4CDA"/>
    <w:rsid w:val="00615319"/>
    <w:rsid w:val="0063633D"/>
    <w:rsid w:val="006E677C"/>
    <w:rsid w:val="006F45E2"/>
    <w:rsid w:val="00755F9F"/>
    <w:rsid w:val="00804576"/>
    <w:rsid w:val="008B4D7E"/>
    <w:rsid w:val="008C7412"/>
    <w:rsid w:val="009D2A23"/>
    <w:rsid w:val="009E5191"/>
    <w:rsid w:val="00B83547"/>
    <w:rsid w:val="00C54294"/>
    <w:rsid w:val="00CB58BB"/>
    <w:rsid w:val="00F170E5"/>
    <w:rsid w:val="00F925A8"/>
    <w:rsid w:val="00FC658B"/>
    <w:rsid w:val="00FE69C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4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HTMLPreformatted">
    <w:name w:val="HTML Preformatted"/>
    <w:basedOn w:val="Normal"/>
    <w:link w:val="HTMLPreformattedChar"/>
    <w:uiPriority w:val="99"/>
    <w:semiHidden/>
    <w:rsid w:val="00CB58B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CB58BB"/>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949429670">
      <w:marLeft w:val="0"/>
      <w:marRight w:val="0"/>
      <w:marTop w:val="0"/>
      <w:marBottom w:val="0"/>
      <w:divBdr>
        <w:top w:val="none" w:sz="0" w:space="0" w:color="auto"/>
        <w:left w:val="none" w:sz="0" w:space="0" w:color="auto"/>
        <w:bottom w:val="none" w:sz="0" w:space="0" w:color="auto"/>
        <w:right w:val="none" w:sz="0" w:space="0" w:color="auto"/>
      </w:divBdr>
      <w:divsChild>
        <w:div w:id="949429667">
          <w:marLeft w:val="0"/>
          <w:marRight w:val="0"/>
          <w:marTop w:val="0"/>
          <w:marBottom w:val="0"/>
          <w:divBdr>
            <w:top w:val="none" w:sz="0" w:space="0" w:color="auto"/>
            <w:left w:val="none" w:sz="0" w:space="0" w:color="auto"/>
            <w:bottom w:val="none" w:sz="0" w:space="0" w:color="auto"/>
            <w:right w:val="none" w:sz="0" w:space="0" w:color="auto"/>
          </w:divBdr>
        </w:div>
        <w:div w:id="949429668">
          <w:marLeft w:val="0"/>
          <w:marRight w:val="0"/>
          <w:marTop w:val="0"/>
          <w:marBottom w:val="0"/>
          <w:divBdr>
            <w:top w:val="none" w:sz="0" w:space="0" w:color="auto"/>
            <w:left w:val="none" w:sz="0" w:space="0" w:color="auto"/>
            <w:bottom w:val="none" w:sz="0" w:space="0" w:color="auto"/>
            <w:right w:val="none" w:sz="0" w:space="0" w:color="auto"/>
          </w:divBdr>
        </w:div>
        <w:div w:id="949429669">
          <w:marLeft w:val="0"/>
          <w:marRight w:val="0"/>
          <w:marTop w:val="0"/>
          <w:marBottom w:val="0"/>
          <w:divBdr>
            <w:top w:val="none" w:sz="0" w:space="0" w:color="auto"/>
            <w:left w:val="none" w:sz="0" w:space="0" w:color="auto"/>
            <w:bottom w:val="none" w:sz="0" w:space="0" w:color="auto"/>
            <w:right w:val="none" w:sz="0" w:space="0" w:color="auto"/>
          </w:divBdr>
        </w:div>
        <w:div w:id="94942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5121</Words>
  <Characters>2919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2015-02-25T09:41:00Z</cp:lastPrinted>
  <dcterms:created xsi:type="dcterms:W3CDTF">2015-02-26T09:09:00Z</dcterms:created>
  <dcterms:modified xsi:type="dcterms:W3CDTF">2015-02-26T09:09:00Z</dcterms:modified>
</cp:coreProperties>
</file>