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53" w:rsidRPr="00957B3A" w:rsidRDefault="00822753"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822753" w:rsidRPr="00F925A8" w:rsidRDefault="00822753"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822753" w:rsidRPr="00F925A8" w:rsidRDefault="00822753"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822753" w:rsidRPr="00F925A8" w:rsidRDefault="00822753"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822753" w:rsidRPr="00F925A8" w:rsidRDefault="00822753"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822753" w:rsidRDefault="00822753" w:rsidP="00F925A8">
      <w:pPr>
        <w:spacing w:after="0" w:line="240" w:lineRule="auto"/>
        <w:rPr>
          <w:rFonts w:ascii="Times New Roman" w:hAnsi="Times New Roman" w:cs="Times New Roman"/>
          <w:b/>
          <w:bCs/>
          <w:sz w:val="28"/>
          <w:szCs w:val="28"/>
          <w:lang w:eastAsia="uk-UA"/>
        </w:rPr>
      </w:pPr>
      <w:bookmarkStart w:id="4" w:name="n8"/>
      <w:bookmarkEnd w:id="4"/>
    </w:p>
    <w:p w:rsidR="00822753" w:rsidRPr="00F925A8" w:rsidRDefault="00822753"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822753" w:rsidRPr="00F925A8" w:rsidRDefault="00822753"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66571B">
        <w:rPr>
          <w:rFonts w:ascii="Times New Roman" w:hAnsi="Times New Roman" w:cs="Times New Roman"/>
          <w:b/>
          <w:bCs/>
          <w:i/>
          <w:iCs/>
          <w:color w:val="000000"/>
          <w:sz w:val="28"/>
          <w:szCs w:val="28"/>
          <w:u w:val="single"/>
          <w:lang w:eastAsia="uk-UA"/>
        </w:rPr>
        <w:t xml:space="preserve">Паливо рідинне та газ; оливи мастильні (Бензини </w:t>
      </w:r>
      <w:r w:rsidRPr="00084AC1">
        <w:rPr>
          <w:rFonts w:ascii="Times New Roman" w:hAnsi="Times New Roman" w:cs="Times New Roman"/>
          <w:b/>
          <w:bCs/>
          <w:i/>
          <w:iCs/>
          <w:color w:val="000000"/>
          <w:sz w:val="28"/>
          <w:szCs w:val="28"/>
          <w:u w:val="single"/>
          <w:lang w:eastAsia="uk-UA"/>
        </w:rPr>
        <w:t>моторні А95</w:t>
      </w:r>
      <w:r>
        <w:rPr>
          <w:rFonts w:ascii="Times New Roman" w:hAnsi="Times New Roman" w:cs="Times New Roman"/>
          <w:b/>
          <w:bCs/>
          <w:i/>
          <w:iCs/>
          <w:color w:val="000000"/>
          <w:sz w:val="28"/>
          <w:szCs w:val="28"/>
          <w:u w:val="single"/>
          <w:lang w:eastAsia="uk-UA"/>
        </w:rPr>
        <w:t xml:space="preserve"> </w:t>
      </w:r>
      <w:r w:rsidRPr="0066571B">
        <w:rPr>
          <w:rFonts w:ascii="Times New Roman" w:hAnsi="Times New Roman" w:cs="Times New Roman"/>
          <w:b/>
          <w:bCs/>
          <w:i/>
          <w:iCs/>
          <w:color w:val="000000"/>
          <w:sz w:val="28"/>
          <w:szCs w:val="28"/>
          <w:u w:val="single"/>
          <w:lang w:eastAsia="uk-UA"/>
        </w:rPr>
        <w:t>, Паливо дизельне), код за</w:t>
      </w:r>
      <w:r w:rsidRPr="0066571B">
        <w:rPr>
          <w:rFonts w:ascii="Times New Roman" w:hAnsi="Times New Roman" w:cs="Times New Roman"/>
          <w:b/>
          <w:bCs/>
          <w:i/>
          <w:iCs/>
          <w:color w:val="000000"/>
          <w:sz w:val="28"/>
          <w:szCs w:val="28"/>
          <w:u w:val="single"/>
          <w:lang w:val="ru-RU" w:eastAsia="uk-UA"/>
        </w:rPr>
        <w:t xml:space="preserve"> </w:t>
      </w:r>
      <w:r w:rsidRPr="0066571B">
        <w:rPr>
          <w:rFonts w:ascii="Times New Roman" w:hAnsi="Times New Roman" w:cs="Times New Roman"/>
          <w:b/>
          <w:bCs/>
          <w:i/>
          <w:iCs/>
          <w:color w:val="000000"/>
          <w:sz w:val="28"/>
          <w:szCs w:val="28"/>
          <w:u w:val="single"/>
          <w:lang w:eastAsia="uk-UA"/>
        </w:rPr>
        <w:t>ДК 016:2010  19.20.2.</w:t>
      </w:r>
    </w:p>
    <w:p w:rsidR="00822753" w:rsidRDefault="00822753" w:rsidP="00F925A8">
      <w:pPr>
        <w:spacing w:after="0" w:line="240" w:lineRule="auto"/>
        <w:jc w:val="both"/>
        <w:rPr>
          <w:rFonts w:ascii="Times New Roman" w:hAnsi="Times New Roman" w:cs="Times New Roman"/>
          <w:sz w:val="28"/>
          <w:szCs w:val="28"/>
          <w:lang w:val="en-US"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p>
    <w:p w:rsidR="00822753" w:rsidRPr="00062082" w:rsidRDefault="00822753" w:rsidP="00F925A8">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 </w:t>
      </w:r>
      <w:r w:rsidRPr="00062082">
        <w:rPr>
          <w:rFonts w:ascii="Times New Roman" w:hAnsi="Times New Roman" w:cs="Times New Roman"/>
          <w:b/>
          <w:bCs/>
          <w:i/>
          <w:iCs/>
          <w:color w:val="000000"/>
          <w:sz w:val="28"/>
          <w:szCs w:val="28"/>
          <w:u w:val="single"/>
        </w:rPr>
        <w:t xml:space="preserve">Бензини моторні А95 - </w:t>
      </w:r>
      <w:r w:rsidRPr="00062082">
        <w:rPr>
          <w:rFonts w:ascii="Times New Roman" w:hAnsi="Times New Roman" w:cs="Times New Roman"/>
          <w:b/>
          <w:bCs/>
          <w:i/>
          <w:iCs/>
          <w:color w:val="000000"/>
          <w:sz w:val="28"/>
          <w:szCs w:val="28"/>
          <w:u w:val="single"/>
          <w:lang w:val="ru-RU"/>
        </w:rPr>
        <w:t>1482</w:t>
      </w:r>
      <w:r w:rsidRPr="00062082">
        <w:rPr>
          <w:rFonts w:ascii="Times New Roman" w:hAnsi="Times New Roman" w:cs="Times New Roman"/>
          <w:b/>
          <w:bCs/>
          <w:i/>
          <w:iCs/>
          <w:color w:val="000000"/>
          <w:sz w:val="28"/>
          <w:szCs w:val="28"/>
          <w:u w:val="single"/>
        </w:rPr>
        <w:t>0 л, Паливо дизельне - 500</w:t>
      </w:r>
      <w:r w:rsidRPr="00062082">
        <w:rPr>
          <w:rFonts w:ascii="Times New Roman" w:hAnsi="Times New Roman" w:cs="Times New Roman"/>
          <w:b/>
          <w:bCs/>
          <w:i/>
          <w:iCs/>
          <w:color w:val="000000"/>
          <w:sz w:val="28"/>
          <w:szCs w:val="28"/>
          <w:u w:val="single"/>
          <w:lang w:val="ru-RU"/>
        </w:rPr>
        <w:t>0</w:t>
      </w:r>
      <w:r w:rsidRPr="00062082">
        <w:rPr>
          <w:rFonts w:ascii="Times New Roman" w:hAnsi="Times New Roman" w:cs="Times New Roman"/>
          <w:b/>
          <w:bCs/>
          <w:i/>
          <w:iCs/>
          <w:color w:val="000000"/>
          <w:sz w:val="28"/>
          <w:szCs w:val="28"/>
          <w:u w:val="single"/>
        </w:rPr>
        <w:t xml:space="preserve"> л</w:t>
      </w:r>
      <w:r>
        <w:rPr>
          <w:rFonts w:ascii="Times New Roman" w:hAnsi="Times New Roman" w:cs="Times New Roman"/>
          <w:b/>
          <w:bCs/>
          <w:i/>
          <w:iCs/>
          <w:color w:val="000000"/>
          <w:sz w:val="28"/>
          <w:szCs w:val="28"/>
          <w:u w:val="single"/>
        </w:rPr>
        <w:t>.</w:t>
      </w:r>
    </w:p>
    <w:p w:rsidR="00822753" w:rsidRPr="009A4917" w:rsidRDefault="00822753" w:rsidP="00F925A8">
      <w:pPr>
        <w:spacing w:after="0" w:line="240" w:lineRule="auto"/>
        <w:jc w:val="both"/>
        <w:rPr>
          <w:rFonts w:ascii="Times New Roman" w:hAnsi="Times New Roman" w:cs="Times New Roman"/>
          <w:sz w:val="28"/>
          <w:szCs w:val="28"/>
          <w:lang w:val="ru-RU"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p>
    <w:p w:rsidR="00822753" w:rsidRPr="00F925A8" w:rsidRDefault="00822753" w:rsidP="00F925A8">
      <w:pPr>
        <w:spacing w:after="0" w:line="240" w:lineRule="auto"/>
        <w:jc w:val="both"/>
        <w:rPr>
          <w:rFonts w:ascii="Times New Roman" w:hAnsi="Times New Roman" w:cs="Times New Roman"/>
          <w:sz w:val="28"/>
          <w:szCs w:val="28"/>
          <w:lang w:eastAsia="uk-UA"/>
        </w:rPr>
      </w:pPr>
      <w:r w:rsidRPr="0066571B">
        <w:rPr>
          <w:rFonts w:ascii="Times New Roman" w:hAnsi="Times New Roman" w:cs="Times New Roman"/>
          <w:b/>
          <w:bCs/>
          <w:i/>
          <w:iCs/>
          <w:sz w:val="28"/>
          <w:szCs w:val="28"/>
          <w:u w:val="single"/>
        </w:rPr>
        <w:t>вул. Хрещатик,26 м. Київ, 01001, (</w:t>
      </w:r>
      <w:r w:rsidRPr="007936F0">
        <w:rPr>
          <w:rFonts w:ascii="Times New Roman" w:hAnsi="Times New Roman" w:cs="Times New Roman"/>
          <w:b/>
          <w:bCs/>
          <w:i/>
          <w:iCs/>
          <w:sz w:val="28"/>
          <w:szCs w:val="28"/>
          <w:u w:val="single"/>
        </w:rPr>
        <w:t>у вигляді бланків-дозволів або скретч-карт)</w:t>
      </w:r>
      <w:r>
        <w:rPr>
          <w:rFonts w:ascii="Times New Roman" w:hAnsi="Times New Roman" w:cs="Times New Roman"/>
          <w:b/>
          <w:bCs/>
          <w:i/>
          <w:iCs/>
          <w:sz w:val="28"/>
          <w:szCs w:val="28"/>
          <w:u w:val="single"/>
        </w:rPr>
        <w:t>.</w:t>
      </w:r>
    </w:p>
    <w:p w:rsidR="00822753" w:rsidRDefault="00822753" w:rsidP="00F925A8">
      <w:pPr>
        <w:spacing w:after="0" w:line="240" w:lineRule="auto"/>
        <w:jc w:val="both"/>
        <w:rPr>
          <w:rFonts w:ascii="Times New Roman" w:hAnsi="Times New Roman" w:cs="Times New Roman"/>
          <w:b/>
          <w:bCs/>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червень</w:t>
      </w:r>
      <w:r w:rsidRPr="005F5098">
        <w:rPr>
          <w:rFonts w:ascii="Times New Roman" w:hAnsi="Times New Roman" w:cs="Times New Roman"/>
          <w:b/>
          <w:bCs/>
          <w:i/>
          <w:iCs/>
          <w:sz w:val="28"/>
          <w:szCs w:val="28"/>
          <w:u w:val="single"/>
          <w:lang w:eastAsia="uk-UA"/>
        </w:rPr>
        <w:t>-грудень 2015</w:t>
      </w:r>
      <w:r>
        <w:rPr>
          <w:rFonts w:ascii="Times New Roman" w:hAnsi="Times New Roman" w:cs="Times New Roman"/>
          <w:b/>
          <w:bCs/>
          <w:i/>
          <w:iCs/>
          <w:sz w:val="28"/>
          <w:szCs w:val="28"/>
          <w:u w:val="single"/>
          <w:lang w:eastAsia="uk-UA"/>
        </w:rPr>
        <w:t>.</w:t>
      </w:r>
    </w:p>
    <w:p w:rsidR="00822753" w:rsidRPr="00F925A8" w:rsidRDefault="00822753"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822753" w:rsidRDefault="00822753" w:rsidP="00F925A8">
      <w:pPr>
        <w:spacing w:after="0" w:line="240" w:lineRule="auto"/>
        <w:rPr>
          <w:rFonts w:ascii="Times New Roman" w:hAnsi="Times New Roman" w:cs="Times New Roman"/>
          <w:b/>
          <w:bCs/>
          <w:sz w:val="28"/>
          <w:szCs w:val="28"/>
          <w:lang w:eastAsia="uk-UA"/>
        </w:rPr>
      </w:pPr>
      <w:bookmarkStart w:id="10" w:name="n14"/>
      <w:bookmarkEnd w:id="10"/>
    </w:p>
    <w:p w:rsidR="00822753" w:rsidRPr="00F925A8" w:rsidRDefault="00822753"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936BBA">
        <w:rPr>
          <w:rFonts w:ascii="Times New Roman" w:hAnsi="Times New Roman" w:cs="Times New Roman"/>
          <w:b/>
          <w:bCs/>
          <w:i/>
          <w:iCs/>
          <w:sz w:val="28"/>
          <w:szCs w:val="28"/>
          <w:u w:val="single"/>
          <w:lang w:eastAsia="uk-UA"/>
        </w:rPr>
        <w:t>1</w:t>
      </w:r>
      <w:r w:rsidRPr="00936BBA">
        <w:rPr>
          <w:rFonts w:ascii="Times New Roman" w:hAnsi="Times New Roman" w:cs="Times New Roman"/>
          <w:b/>
          <w:bCs/>
          <w:i/>
          <w:iCs/>
          <w:sz w:val="28"/>
          <w:szCs w:val="28"/>
          <w:u w:val="single"/>
          <w:lang w:val="en-US" w:eastAsia="uk-UA"/>
        </w:rPr>
        <w:t>3</w:t>
      </w:r>
      <w:r w:rsidRPr="00936BBA">
        <w:rPr>
          <w:rFonts w:ascii="Times New Roman" w:hAnsi="Times New Roman" w:cs="Times New Roman"/>
          <w:b/>
          <w:bCs/>
          <w:i/>
          <w:iCs/>
          <w:sz w:val="28"/>
          <w:szCs w:val="28"/>
          <w:u w:val="single"/>
          <w:lang w:eastAsia="uk-UA"/>
        </w:rPr>
        <w:t>.0</w:t>
      </w:r>
      <w:r w:rsidRPr="00936BBA">
        <w:rPr>
          <w:rFonts w:ascii="Times New Roman" w:hAnsi="Times New Roman" w:cs="Times New Roman"/>
          <w:b/>
          <w:bCs/>
          <w:i/>
          <w:iCs/>
          <w:sz w:val="28"/>
          <w:szCs w:val="28"/>
          <w:u w:val="single"/>
          <w:lang w:val="en-US" w:eastAsia="uk-UA"/>
        </w:rPr>
        <w:t>5</w:t>
      </w:r>
      <w:r w:rsidRPr="00936BBA">
        <w:rPr>
          <w:rFonts w:ascii="Times New Roman" w:hAnsi="Times New Roman" w:cs="Times New Roman"/>
          <w:b/>
          <w:bCs/>
          <w:i/>
          <w:iCs/>
          <w:sz w:val="28"/>
          <w:szCs w:val="28"/>
          <w:u w:val="single"/>
          <w:lang w:eastAsia="uk-UA"/>
        </w:rPr>
        <w:t>.2015, №129717, №250(1</w:t>
      </w:r>
      <w:r w:rsidRPr="00936BBA">
        <w:rPr>
          <w:rFonts w:ascii="Times New Roman" w:hAnsi="Times New Roman" w:cs="Times New Roman"/>
          <w:b/>
          <w:bCs/>
          <w:i/>
          <w:iCs/>
          <w:sz w:val="28"/>
          <w:szCs w:val="28"/>
          <w:u w:val="single"/>
          <w:lang w:val="en-US" w:eastAsia="uk-UA"/>
        </w:rPr>
        <w:t>3</w:t>
      </w:r>
      <w:r w:rsidRPr="00936BBA">
        <w:rPr>
          <w:rFonts w:ascii="Times New Roman" w:hAnsi="Times New Roman" w:cs="Times New Roman"/>
          <w:b/>
          <w:bCs/>
          <w:i/>
          <w:iCs/>
          <w:sz w:val="28"/>
          <w:szCs w:val="28"/>
          <w:u w:val="single"/>
          <w:lang w:eastAsia="uk-UA"/>
        </w:rPr>
        <w:t>.0</w:t>
      </w:r>
      <w:r w:rsidRPr="00936BBA">
        <w:rPr>
          <w:rFonts w:ascii="Times New Roman" w:hAnsi="Times New Roman" w:cs="Times New Roman"/>
          <w:b/>
          <w:bCs/>
          <w:i/>
          <w:iCs/>
          <w:sz w:val="28"/>
          <w:szCs w:val="28"/>
          <w:u w:val="single"/>
          <w:lang w:val="en-US" w:eastAsia="uk-UA"/>
        </w:rPr>
        <w:t>5</w:t>
      </w:r>
      <w:r w:rsidRPr="00936BBA">
        <w:rPr>
          <w:rFonts w:ascii="Times New Roman" w:hAnsi="Times New Roman" w:cs="Times New Roman"/>
          <w:b/>
          <w:bCs/>
          <w:i/>
          <w:iCs/>
          <w:sz w:val="28"/>
          <w:szCs w:val="28"/>
          <w:u w:val="single"/>
          <w:lang w:eastAsia="uk-UA"/>
        </w:rPr>
        <w:t>.2015)</w:t>
      </w:r>
      <w:r w:rsidRPr="00F925A8">
        <w:rPr>
          <w:rFonts w:ascii="Times New Roman" w:hAnsi="Times New Roman" w:cs="Times New Roman"/>
          <w:b/>
          <w:bCs/>
          <w:i/>
          <w:iCs/>
          <w:sz w:val="28"/>
          <w:szCs w:val="28"/>
          <w:u w:val="single"/>
          <w:lang w:eastAsia="uk-UA"/>
        </w:rPr>
        <w:t xml:space="preserve"> </w:t>
      </w:r>
    </w:p>
    <w:p w:rsidR="00822753" w:rsidRDefault="00822753" w:rsidP="00F925A8">
      <w:pPr>
        <w:spacing w:after="0" w:line="240" w:lineRule="auto"/>
        <w:rPr>
          <w:rFonts w:ascii="Times New Roman" w:hAnsi="Times New Roman" w:cs="Times New Roman"/>
          <w:b/>
          <w:bCs/>
          <w:sz w:val="28"/>
          <w:szCs w:val="28"/>
          <w:lang w:eastAsia="uk-UA"/>
        </w:rPr>
      </w:pPr>
      <w:bookmarkStart w:id="11" w:name="n15"/>
      <w:bookmarkEnd w:id="11"/>
    </w:p>
    <w:p w:rsidR="00822753" w:rsidRPr="00F925A8" w:rsidRDefault="00822753"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822753" w:rsidRPr="00F925A8" w:rsidRDefault="00822753" w:rsidP="00F925A8">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CA7FBA">
        <w:rPr>
          <w:rFonts w:ascii="Times New Roman" w:hAnsi="Times New Roman" w:cs="Times New Roman"/>
          <w:b/>
          <w:bCs/>
          <w:i/>
          <w:iCs/>
          <w:sz w:val="28"/>
          <w:szCs w:val="28"/>
          <w:u w:val="single"/>
        </w:rPr>
        <w:t>Товариство з обмеженою відповідальністю «Ю.С.А.»</w:t>
      </w:r>
      <w:r>
        <w:rPr>
          <w:rFonts w:ascii="Times New Roman" w:hAnsi="Times New Roman" w:cs="Times New Roman"/>
          <w:b/>
          <w:bCs/>
          <w:i/>
          <w:iCs/>
          <w:sz w:val="28"/>
          <w:szCs w:val="28"/>
          <w:u w:val="single"/>
        </w:rPr>
        <w:t>.</w:t>
      </w:r>
    </w:p>
    <w:p w:rsidR="00822753" w:rsidRPr="00062082" w:rsidRDefault="00822753"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Код за ЄДРПОУ </w:t>
      </w:r>
      <w:r w:rsidRPr="00062082">
        <w:rPr>
          <w:rFonts w:ascii="Times New Roman" w:hAnsi="Times New Roman" w:cs="Times New Roman"/>
          <w:b/>
          <w:bCs/>
          <w:i/>
          <w:iCs/>
          <w:sz w:val="28"/>
          <w:szCs w:val="28"/>
          <w:u w:val="single"/>
          <w:lang w:val="ru-RU"/>
        </w:rPr>
        <w:t>25392</w:t>
      </w:r>
      <w:r>
        <w:rPr>
          <w:rFonts w:ascii="Times New Roman" w:hAnsi="Times New Roman" w:cs="Times New Roman"/>
          <w:b/>
          <w:bCs/>
          <w:i/>
          <w:iCs/>
          <w:sz w:val="28"/>
          <w:szCs w:val="28"/>
          <w:u w:val="single"/>
        </w:rPr>
        <w:t>9</w:t>
      </w:r>
      <w:r w:rsidRPr="00062082">
        <w:rPr>
          <w:rFonts w:ascii="Times New Roman" w:hAnsi="Times New Roman" w:cs="Times New Roman"/>
          <w:b/>
          <w:bCs/>
          <w:i/>
          <w:iCs/>
          <w:sz w:val="28"/>
          <w:szCs w:val="28"/>
          <w:u w:val="single"/>
          <w:lang w:val="ru-RU"/>
        </w:rPr>
        <w:t>23</w:t>
      </w:r>
      <w:r>
        <w:rPr>
          <w:rFonts w:ascii="Times New Roman" w:hAnsi="Times New Roman" w:cs="Times New Roman"/>
          <w:b/>
          <w:bCs/>
          <w:i/>
          <w:iCs/>
          <w:sz w:val="28"/>
          <w:szCs w:val="28"/>
          <w:u w:val="single"/>
        </w:rPr>
        <w:t>.</w:t>
      </w:r>
    </w:p>
    <w:p w:rsidR="00822753" w:rsidRPr="00062082" w:rsidRDefault="00822753"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r w:rsidRPr="00062082">
        <w:rPr>
          <w:rFonts w:ascii="Times New Roman" w:hAnsi="Times New Roman" w:cs="Times New Roman"/>
          <w:b/>
          <w:bCs/>
          <w:i/>
          <w:iCs/>
          <w:sz w:val="28"/>
          <w:szCs w:val="28"/>
          <w:u w:val="single"/>
        </w:rPr>
        <w:t>вул. Соцмістечко, 1, склад ПММ №2, Київська область, м. Бориспіль, 08302, тел./факс 044-277-85-57,</w:t>
      </w:r>
      <w:r w:rsidRPr="00062082">
        <w:rPr>
          <w:rFonts w:ascii="Times New Roman" w:hAnsi="Times New Roman" w:cs="Times New Roman"/>
          <w:b/>
          <w:bCs/>
          <w:i/>
          <w:iCs/>
          <w:sz w:val="28"/>
          <w:szCs w:val="28"/>
          <w:u w:val="single"/>
          <w:lang w:val="ru-RU"/>
        </w:rPr>
        <w:t xml:space="preserve"> </w:t>
      </w:r>
      <w:r w:rsidRPr="00062082">
        <w:rPr>
          <w:rFonts w:ascii="Times New Roman" w:hAnsi="Times New Roman" w:cs="Times New Roman"/>
          <w:b/>
          <w:bCs/>
          <w:i/>
          <w:iCs/>
          <w:sz w:val="28"/>
          <w:szCs w:val="28"/>
          <w:u w:val="single"/>
        </w:rPr>
        <w:t xml:space="preserve">e-mail: </w:t>
      </w:r>
      <w:r w:rsidRPr="00062082">
        <w:rPr>
          <w:rFonts w:ascii="Times New Roman" w:hAnsi="Times New Roman" w:cs="Times New Roman"/>
          <w:b/>
          <w:bCs/>
          <w:i/>
          <w:iCs/>
          <w:sz w:val="28"/>
          <w:szCs w:val="28"/>
          <w:u w:val="single"/>
          <w:lang w:val="en-US"/>
        </w:rPr>
        <w:t>l</w:t>
      </w:r>
      <w:r w:rsidRPr="00062082">
        <w:rPr>
          <w:rFonts w:ascii="Times New Roman" w:hAnsi="Times New Roman" w:cs="Times New Roman"/>
          <w:b/>
          <w:bCs/>
          <w:i/>
          <w:iCs/>
          <w:sz w:val="28"/>
          <w:szCs w:val="28"/>
          <w:u w:val="single"/>
          <w:lang w:val="ru-RU"/>
        </w:rPr>
        <w:t>421@</w:t>
      </w:r>
      <w:r w:rsidRPr="00062082">
        <w:rPr>
          <w:rFonts w:ascii="Times New Roman" w:hAnsi="Times New Roman" w:cs="Times New Roman"/>
          <w:b/>
          <w:bCs/>
          <w:i/>
          <w:iCs/>
          <w:sz w:val="28"/>
          <w:szCs w:val="28"/>
          <w:u w:val="single"/>
          <w:lang w:val="en-US"/>
        </w:rPr>
        <w:t>ukr</w:t>
      </w:r>
      <w:r w:rsidRPr="00062082">
        <w:rPr>
          <w:rFonts w:ascii="Times New Roman" w:hAnsi="Times New Roman" w:cs="Times New Roman"/>
          <w:b/>
          <w:bCs/>
          <w:i/>
          <w:iCs/>
          <w:sz w:val="28"/>
          <w:szCs w:val="28"/>
          <w:u w:val="single"/>
          <w:lang w:val="ru-RU"/>
        </w:rPr>
        <w:t>.</w:t>
      </w:r>
      <w:r w:rsidRPr="00062082">
        <w:rPr>
          <w:rFonts w:ascii="Times New Roman" w:hAnsi="Times New Roman" w:cs="Times New Roman"/>
          <w:b/>
          <w:bCs/>
          <w:i/>
          <w:iCs/>
          <w:sz w:val="28"/>
          <w:szCs w:val="28"/>
          <w:u w:val="single"/>
          <w:lang w:val="en-US"/>
        </w:rPr>
        <w:t>net</w:t>
      </w:r>
      <w:r w:rsidRPr="00062082">
        <w:rPr>
          <w:rFonts w:ascii="Times New Roman" w:hAnsi="Times New Roman" w:cs="Times New Roman"/>
          <w:b/>
          <w:bCs/>
          <w:i/>
          <w:iCs/>
          <w:sz w:val="28"/>
          <w:szCs w:val="28"/>
          <w:u w:val="single"/>
        </w:rPr>
        <w:t>.</w:t>
      </w:r>
    </w:p>
    <w:p w:rsidR="00822753" w:rsidRDefault="00822753" w:rsidP="00F925A8">
      <w:pPr>
        <w:spacing w:after="0" w:line="240" w:lineRule="auto"/>
        <w:rPr>
          <w:rFonts w:ascii="Times New Roman" w:hAnsi="Times New Roman" w:cs="Times New Roman"/>
          <w:b/>
          <w:bCs/>
          <w:sz w:val="28"/>
          <w:szCs w:val="28"/>
          <w:lang w:eastAsia="uk-UA"/>
        </w:rPr>
      </w:pPr>
      <w:bookmarkStart w:id="15" w:name="n19"/>
      <w:bookmarkEnd w:id="15"/>
    </w:p>
    <w:p w:rsidR="00822753" w:rsidRDefault="00822753"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822753" w:rsidRPr="00F925A8" w:rsidRDefault="00822753"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822753" w:rsidRPr="00C92591">
        <w:trPr>
          <w:tblCellSpacing w:w="0" w:type="dxa"/>
        </w:trPr>
        <w:tc>
          <w:tcPr>
            <w:tcW w:w="709" w:type="dxa"/>
          </w:tcPr>
          <w:p w:rsidR="00822753" w:rsidRDefault="00822753" w:rsidP="00F925A8">
            <w:pPr>
              <w:spacing w:after="0" w:line="240" w:lineRule="auto"/>
              <w:rPr>
                <w:rFonts w:ascii="Times New Roman" w:hAnsi="Times New Roman" w:cs="Times New Roman"/>
                <w:sz w:val="28"/>
                <w:szCs w:val="28"/>
                <w:lang w:eastAsia="uk-UA"/>
              </w:rPr>
            </w:pPr>
            <w:bookmarkStart w:id="16" w:name="n20"/>
            <w:bookmarkEnd w:id="16"/>
          </w:p>
          <w:p w:rsidR="00822753" w:rsidRDefault="00822753" w:rsidP="00F925A8">
            <w:pPr>
              <w:spacing w:after="0" w:line="240" w:lineRule="auto"/>
              <w:rPr>
                <w:rFonts w:ascii="Times New Roman" w:hAnsi="Times New Roman" w:cs="Times New Roman"/>
                <w:sz w:val="28"/>
                <w:szCs w:val="28"/>
                <w:lang w:eastAsia="uk-UA"/>
              </w:rPr>
            </w:pPr>
          </w:p>
          <w:p w:rsidR="00822753" w:rsidRPr="00F925A8" w:rsidRDefault="00822753" w:rsidP="00F925A8">
            <w:pPr>
              <w:spacing w:after="0" w:line="240" w:lineRule="auto"/>
              <w:rPr>
                <w:rFonts w:ascii="Times New Roman" w:hAnsi="Times New Roman" w:cs="Times New Roman"/>
                <w:sz w:val="28"/>
                <w:szCs w:val="28"/>
                <w:lang w:eastAsia="uk-UA"/>
              </w:rPr>
            </w:pPr>
          </w:p>
        </w:tc>
        <w:tc>
          <w:tcPr>
            <w:tcW w:w="8930" w:type="dxa"/>
          </w:tcPr>
          <w:p w:rsidR="00822753" w:rsidRPr="00F925A8" w:rsidRDefault="00822753" w:rsidP="00B00812">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388</w:t>
            </w:r>
            <w:r>
              <w:rPr>
                <w:rFonts w:ascii="Times New Roman" w:hAnsi="Times New Roman" w:cs="Times New Roman"/>
                <w:b/>
                <w:bCs/>
                <w:i/>
                <w:iCs/>
                <w:sz w:val="28"/>
                <w:szCs w:val="28"/>
                <w:u w:val="single"/>
                <w:lang w:eastAsia="uk-UA"/>
              </w:rPr>
              <w:t>264</w:t>
            </w:r>
            <w:r w:rsidRPr="00F925A8">
              <w:rPr>
                <w:rFonts w:ascii="Times New Roman" w:hAnsi="Times New Roman" w:cs="Times New Roman"/>
                <w:b/>
                <w:bCs/>
                <w:i/>
                <w:iCs/>
                <w:sz w:val="28"/>
                <w:szCs w:val="28"/>
                <w:u w:val="single"/>
                <w:lang w:eastAsia="uk-UA"/>
              </w:rPr>
              <w:t xml:space="preserve">  грн.</w:t>
            </w:r>
            <w:r>
              <w:rPr>
                <w:rFonts w:ascii="Times New Roman" w:hAnsi="Times New Roman" w:cs="Times New Roman"/>
                <w:b/>
                <w:bCs/>
                <w:i/>
                <w:iCs/>
                <w:sz w:val="28"/>
                <w:szCs w:val="28"/>
                <w:u w:val="single"/>
                <w:lang w:eastAsia="uk-UA"/>
              </w:rPr>
              <w:t>8</w:t>
            </w:r>
            <w:r w:rsidRPr="00F925A8">
              <w:rPr>
                <w:rFonts w:ascii="Times New Roman" w:hAnsi="Times New Roman" w:cs="Times New Roman"/>
                <w:b/>
                <w:bCs/>
                <w:i/>
                <w:iCs/>
                <w:sz w:val="28"/>
                <w:szCs w:val="28"/>
                <w:u w:val="single"/>
                <w:lang w:eastAsia="uk-UA"/>
              </w:rPr>
              <w:t xml:space="preserve">0 </w:t>
            </w:r>
            <w:r w:rsidRPr="00C9259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822753" w:rsidRPr="00C92591">
        <w:trPr>
          <w:tblCellSpacing w:w="0" w:type="dxa"/>
        </w:trPr>
        <w:tc>
          <w:tcPr>
            <w:tcW w:w="709" w:type="dxa"/>
          </w:tcPr>
          <w:p w:rsidR="00822753" w:rsidRPr="00F925A8" w:rsidRDefault="00822753" w:rsidP="00F925A8">
            <w:pPr>
              <w:spacing w:after="0" w:line="240" w:lineRule="auto"/>
              <w:rPr>
                <w:rFonts w:ascii="Times New Roman" w:hAnsi="Times New Roman" w:cs="Times New Roman"/>
                <w:sz w:val="28"/>
                <w:szCs w:val="28"/>
                <w:lang w:eastAsia="uk-UA"/>
              </w:rPr>
            </w:pPr>
          </w:p>
        </w:tc>
        <w:tc>
          <w:tcPr>
            <w:tcW w:w="8930" w:type="dxa"/>
          </w:tcPr>
          <w:p w:rsidR="00822753" w:rsidRPr="00F925A8" w:rsidRDefault="00822753" w:rsidP="00B00812">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w:t>
            </w:r>
            <w:r>
              <w:rPr>
                <w:rFonts w:ascii="Times New Roman" w:hAnsi="Times New Roman" w:cs="Times New Roman"/>
                <w:b/>
                <w:bCs/>
                <w:i/>
                <w:iCs/>
                <w:sz w:val="28"/>
                <w:szCs w:val="28"/>
                <w:u w:val="single"/>
                <w:lang w:eastAsia="uk-UA"/>
              </w:rPr>
              <w:t>ста вісімдесят вісім тисяч двісті шістдесят чотири</w:t>
            </w:r>
            <w:r w:rsidRPr="00F925A8">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8</w:t>
            </w:r>
            <w:r w:rsidRPr="00F925A8">
              <w:rPr>
                <w:rFonts w:ascii="Times New Roman" w:hAnsi="Times New Roman" w:cs="Times New Roman"/>
                <w:b/>
                <w:bCs/>
                <w:i/>
                <w:iCs/>
                <w:sz w:val="28"/>
                <w:szCs w:val="28"/>
                <w:u w:val="single"/>
                <w:lang w:eastAsia="uk-UA"/>
              </w:rPr>
              <w:t xml:space="preserve">0 </w:t>
            </w:r>
            <w:r w:rsidRPr="00C9259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bookmarkStart w:id="17" w:name="_GoBack"/>
            <w:bookmarkEnd w:id="17"/>
            <w:r w:rsidRPr="00F925A8">
              <w:rPr>
                <w:rFonts w:ascii="Times New Roman" w:hAnsi="Times New Roman" w:cs="Times New Roman"/>
                <w:sz w:val="28"/>
                <w:szCs w:val="28"/>
                <w:lang w:eastAsia="uk-UA"/>
              </w:rPr>
              <w:br/>
              <w:t>                          (словами)</w:t>
            </w:r>
          </w:p>
        </w:tc>
      </w:tr>
    </w:tbl>
    <w:p w:rsidR="00822753" w:rsidRDefault="00822753" w:rsidP="00F925A8">
      <w:pPr>
        <w:spacing w:after="0" w:line="240" w:lineRule="auto"/>
        <w:rPr>
          <w:rFonts w:ascii="Times New Roman" w:hAnsi="Times New Roman" w:cs="Times New Roman"/>
          <w:b/>
          <w:bCs/>
          <w:sz w:val="28"/>
          <w:szCs w:val="28"/>
          <w:lang w:eastAsia="uk-UA"/>
        </w:rPr>
      </w:pPr>
      <w:bookmarkStart w:id="18" w:name="n21"/>
      <w:bookmarkEnd w:id="18"/>
    </w:p>
    <w:p w:rsidR="00822753" w:rsidRPr="00F925A8" w:rsidRDefault="00822753"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.2015</w:t>
      </w:r>
    </w:p>
    <w:p w:rsidR="00822753" w:rsidRDefault="00822753" w:rsidP="00F925A8">
      <w:pPr>
        <w:spacing w:after="0" w:line="240" w:lineRule="auto"/>
        <w:jc w:val="both"/>
        <w:rPr>
          <w:rFonts w:ascii="Times New Roman" w:hAnsi="Times New Roman" w:cs="Times New Roman"/>
          <w:b/>
          <w:bCs/>
          <w:sz w:val="28"/>
          <w:szCs w:val="28"/>
          <w:lang w:eastAsia="uk-UA"/>
        </w:rPr>
      </w:pPr>
      <w:bookmarkStart w:id="19" w:name="n22"/>
      <w:bookmarkEnd w:id="19"/>
    </w:p>
    <w:p w:rsidR="00822753" w:rsidRPr="00F925A8" w:rsidRDefault="00822753" w:rsidP="00F925A8">
      <w:pPr>
        <w:spacing w:after="0" w:line="240" w:lineRule="auto"/>
        <w:jc w:val="both"/>
        <w:rPr>
          <w:rFonts w:ascii="Times New Roman" w:hAnsi="Times New Roman" w:cs="Times New Roman"/>
          <w:b/>
          <w:bCs/>
          <w:sz w:val="28"/>
          <w:szCs w:val="28"/>
          <w:lang w:val="ru-RU" w:eastAsia="uk-UA"/>
        </w:rPr>
      </w:pPr>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 xml:space="preserve">у строк не раніше ніж через </w:t>
      </w:r>
      <w:r>
        <w:rPr>
          <w:rStyle w:val="rvts0"/>
          <w:rFonts w:ascii="Times New Roman" w:hAnsi="Times New Roman" w:cs="Times New Roman"/>
          <w:b/>
          <w:bCs/>
          <w:i/>
          <w:iCs/>
          <w:sz w:val="28"/>
          <w:szCs w:val="28"/>
          <w:u w:val="single"/>
        </w:rPr>
        <w:t>десять</w:t>
      </w:r>
      <w:r w:rsidRPr="00F925A8">
        <w:rPr>
          <w:rStyle w:val="rvts0"/>
          <w:rFonts w:ascii="Times New Roman" w:hAnsi="Times New Roman" w:cs="Times New Roman"/>
          <w:b/>
          <w:bCs/>
          <w:i/>
          <w:iCs/>
          <w:sz w:val="28"/>
          <w:szCs w:val="28"/>
          <w:u w:val="single"/>
        </w:rPr>
        <w:t xml:space="preserve">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822753" w:rsidRPr="00F925A8" w:rsidRDefault="00822753" w:rsidP="00F925A8">
      <w:pPr>
        <w:spacing w:after="0" w:line="240" w:lineRule="auto"/>
        <w:rPr>
          <w:rFonts w:ascii="Times New Roman" w:hAnsi="Times New Roman" w:cs="Times New Roman"/>
          <w:b/>
          <w:bCs/>
          <w:sz w:val="28"/>
          <w:szCs w:val="28"/>
          <w:lang w:val="ru-RU" w:eastAsia="uk-UA"/>
        </w:rPr>
      </w:pPr>
    </w:p>
    <w:p w:rsidR="00822753" w:rsidRPr="00F925A8" w:rsidRDefault="00822753" w:rsidP="00957B3A">
      <w:pPr>
        <w:spacing w:before="100" w:beforeAutospacing="1" w:after="100" w:afterAutospacing="1" w:line="240" w:lineRule="auto"/>
        <w:rPr>
          <w:rFonts w:ascii="Times New Roman" w:hAnsi="Times New Roman" w:cs="Times New Roman"/>
          <w:b/>
          <w:bCs/>
          <w:sz w:val="28"/>
          <w:szCs w:val="28"/>
          <w:lang w:val="ru-RU" w:eastAsia="uk-UA"/>
        </w:rPr>
      </w:pPr>
    </w:p>
    <w:p w:rsidR="00822753" w:rsidRPr="009315C1" w:rsidRDefault="00822753"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822753" w:rsidRPr="009315C1" w:rsidRDefault="00822753"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Pr="003E2F95"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p w:rsidR="00822753" w:rsidRPr="003E2F95" w:rsidRDefault="00822753"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822753" w:rsidRPr="00C92591">
        <w:trPr>
          <w:tblCellSpacing w:w="0" w:type="dxa"/>
        </w:trPr>
        <w:tc>
          <w:tcPr>
            <w:tcW w:w="3000" w:type="pct"/>
          </w:tcPr>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822753" w:rsidRPr="00C92591">
        <w:trPr>
          <w:tblCellSpacing w:w="0" w:type="dxa"/>
        </w:trPr>
        <w:tc>
          <w:tcPr>
            <w:tcW w:w="3000" w:type="pct"/>
          </w:tcPr>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822753" w:rsidRPr="00957B3A" w:rsidRDefault="00822753"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822753" w:rsidRDefault="00822753"/>
    <w:sectPr w:rsidR="00822753"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altName w:val="Haettenschweiler"/>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04D8F"/>
    <w:rsid w:val="000617B8"/>
    <w:rsid w:val="00062082"/>
    <w:rsid w:val="00073533"/>
    <w:rsid w:val="00084AC1"/>
    <w:rsid w:val="00151FCE"/>
    <w:rsid w:val="002B1263"/>
    <w:rsid w:val="002B5CDE"/>
    <w:rsid w:val="002C19E3"/>
    <w:rsid w:val="003E2F95"/>
    <w:rsid w:val="0045645D"/>
    <w:rsid w:val="00551826"/>
    <w:rsid w:val="005E592F"/>
    <w:rsid w:val="005F5098"/>
    <w:rsid w:val="0066571B"/>
    <w:rsid w:val="006A328D"/>
    <w:rsid w:val="007936F0"/>
    <w:rsid w:val="00822753"/>
    <w:rsid w:val="009315C1"/>
    <w:rsid w:val="00936BBA"/>
    <w:rsid w:val="00957B3A"/>
    <w:rsid w:val="009A4917"/>
    <w:rsid w:val="00A94E49"/>
    <w:rsid w:val="00B00812"/>
    <w:rsid w:val="00B0353E"/>
    <w:rsid w:val="00C92591"/>
    <w:rsid w:val="00CA7FBA"/>
    <w:rsid w:val="00DA1B9F"/>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26347">
      <w:marLeft w:val="0"/>
      <w:marRight w:val="0"/>
      <w:marTop w:val="0"/>
      <w:marBottom w:val="0"/>
      <w:divBdr>
        <w:top w:val="none" w:sz="0" w:space="0" w:color="auto"/>
        <w:left w:val="none" w:sz="0" w:space="0" w:color="auto"/>
        <w:bottom w:val="none" w:sz="0" w:space="0" w:color="auto"/>
        <w:right w:val="none" w:sz="0" w:space="0" w:color="auto"/>
      </w:divBdr>
      <w:divsChild>
        <w:div w:id="177626345">
          <w:marLeft w:val="0"/>
          <w:marRight w:val="0"/>
          <w:marTop w:val="0"/>
          <w:marBottom w:val="0"/>
          <w:divBdr>
            <w:top w:val="none" w:sz="0" w:space="0" w:color="auto"/>
            <w:left w:val="none" w:sz="0" w:space="0" w:color="auto"/>
            <w:bottom w:val="none" w:sz="0" w:space="0" w:color="auto"/>
            <w:right w:val="none" w:sz="0" w:space="0" w:color="auto"/>
          </w:divBdr>
        </w:div>
        <w:div w:id="177626346">
          <w:marLeft w:val="0"/>
          <w:marRight w:val="0"/>
          <w:marTop w:val="0"/>
          <w:marBottom w:val="0"/>
          <w:divBdr>
            <w:top w:val="none" w:sz="0" w:space="0" w:color="auto"/>
            <w:left w:val="none" w:sz="0" w:space="0" w:color="auto"/>
            <w:bottom w:val="none" w:sz="0" w:space="0" w:color="auto"/>
            <w:right w:val="none" w:sz="0" w:space="0" w:color="auto"/>
          </w:divBdr>
        </w:div>
        <w:div w:id="1776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6084</Words>
  <Characters>3469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2015-05-12T11:16:00Z</cp:lastPrinted>
  <dcterms:created xsi:type="dcterms:W3CDTF">2015-05-25T12:06:00Z</dcterms:created>
  <dcterms:modified xsi:type="dcterms:W3CDTF">2015-05-25T12:06:00Z</dcterms:modified>
</cp:coreProperties>
</file>