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23" w:rsidRPr="002D000E" w:rsidRDefault="00666A23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666A23" w:rsidRPr="002D000E" w:rsidRDefault="00666A23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666A23" w:rsidRPr="002D000E" w:rsidRDefault="00666A23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M92"/>
      <w:bookmarkEnd w:id="7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2D000E">
        <w:rPr>
          <w:b/>
          <w:bCs/>
          <w:i/>
          <w:iCs/>
          <w:sz w:val="28"/>
          <w:szCs w:val="28"/>
          <w:u w:val="single"/>
        </w:rPr>
        <w:t>Чаленко Анатолій Васильович, заступник генерального директора, начальник господарчого управління,</w:t>
      </w:r>
      <w:r w:rsidRPr="002D000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>вул. Грінченка, буд. №9 , 01001, м. Київ, кім. 19, телефон (044)239-69-50, (044)239-94-20 телефакс (044)239-94-30, e-mail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chalenko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2D000E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2D000E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0</w:t>
      </w:r>
      <w:r w:rsidRPr="00F03C8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6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.01.2015</w:t>
      </w:r>
    </w:p>
    <w:p w:rsidR="00666A23" w:rsidRPr="002D000E" w:rsidRDefault="00666A23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666A23" w:rsidRPr="002D000E" w:rsidRDefault="00666A23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666A23" w:rsidRPr="002D000E" w:rsidRDefault="00666A23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bookmarkStart w:id="11" w:name="BM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Пара та гаряча вода; постачання пари та гарячої </w:t>
      </w:r>
      <w:r>
        <w:rPr>
          <w:b/>
          <w:bCs/>
          <w:i/>
          <w:iCs/>
          <w:sz w:val="28"/>
          <w:szCs w:val="28"/>
          <w:u w:val="single"/>
        </w:rPr>
        <w:t>води (теплова енергія код</w:t>
      </w:r>
      <w:bookmarkStart w:id="12" w:name="_GoBack"/>
      <w:bookmarkEnd w:id="12"/>
      <w:r w:rsidRPr="002D000E">
        <w:rPr>
          <w:b/>
          <w:bCs/>
          <w:i/>
          <w:iCs/>
          <w:sz w:val="28"/>
          <w:szCs w:val="28"/>
          <w:u w:val="single"/>
        </w:rPr>
        <w:t>), код за ДК 016-2010:  35.30.1</w:t>
      </w:r>
      <w:r w:rsidRPr="002D000E">
        <w:rPr>
          <w:sz w:val="28"/>
          <w:szCs w:val="28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     </w:t>
      </w:r>
    </w:p>
    <w:p w:rsidR="00666A23" w:rsidRPr="002D000E" w:rsidRDefault="00666A23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bookmarkStart w:id="13" w:name="BM96"/>
      <w:bookmarkEnd w:id="13"/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r w:rsidRPr="00F175C3">
        <w:rPr>
          <w:b/>
          <w:bCs/>
          <w:i/>
          <w:iCs/>
          <w:sz w:val="28"/>
          <w:szCs w:val="28"/>
          <w:u w:val="single"/>
        </w:rPr>
        <w:t>2300 Гкал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M97"/>
      <w:bookmarkStart w:id="15" w:name="BM99"/>
      <w:bookmarkEnd w:id="14"/>
      <w:bookmarkEnd w:id="1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bookmarkStart w:id="16" w:name="BM98"/>
      <w:bookmarkEnd w:id="1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Місце поставки товарів, виконання робіт чи надання послуг.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Хрещатик, буд. №26; вул. Б. Грінченка, буд. №№ 9, 11; вул. Л. Первомайського, буд. № 5-А.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-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м. Київ</w:t>
      </w:r>
    </w:p>
    <w:p w:rsidR="00666A23" w:rsidRPr="002D000E" w:rsidRDefault="00666A23" w:rsidP="002D000E">
      <w:pPr>
        <w:ind w:firstLine="708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F175C3">
        <w:rPr>
          <w:b/>
          <w:bCs/>
          <w:i/>
          <w:iCs/>
          <w:sz w:val="28"/>
          <w:szCs w:val="28"/>
          <w:u w:val="single"/>
        </w:rPr>
        <w:t>з 2</w:t>
      </w:r>
      <w:r>
        <w:rPr>
          <w:b/>
          <w:bCs/>
          <w:i/>
          <w:iCs/>
          <w:sz w:val="28"/>
          <w:szCs w:val="28"/>
          <w:u w:val="single"/>
        </w:rPr>
        <w:t>1</w:t>
      </w:r>
      <w:r w:rsidRPr="00F175C3">
        <w:rPr>
          <w:b/>
          <w:bCs/>
          <w:i/>
          <w:iCs/>
          <w:sz w:val="28"/>
          <w:szCs w:val="28"/>
          <w:u w:val="single"/>
        </w:rPr>
        <w:t>.01.2015  по 31.12.2015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666A23" w:rsidRPr="000916BF" w:rsidRDefault="00666A23" w:rsidP="002D000E">
      <w:pPr>
        <w:ind w:firstLine="708"/>
        <w:rPr>
          <w:b/>
          <w:bCs/>
          <w:sz w:val="28"/>
          <w:szCs w:val="28"/>
        </w:rPr>
      </w:pPr>
      <w:bookmarkStart w:id="17" w:name="BM100"/>
      <w:bookmarkStart w:id="18" w:name="BM103"/>
      <w:bookmarkEnd w:id="17"/>
      <w:bookmarkEnd w:id="18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Публічне а</w:t>
      </w:r>
      <w:r w:rsidRPr="002D000E">
        <w:rPr>
          <w:b/>
          <w:bCs/>
          <w:i/>
          <w:iCs/>
          <w:color w:val="000000"/>
          <w:sz w:val="28"/>
          <w:szCs w:val="28"/>
          <w:u w:val="single"/>
          <w:lang w:eastAsia="en-US"/>
        </w:rPr>
        <w:t>кціонерне товариство</w:t>
      </w:r>
      <w:r w:rsidRPr="002D000E">
        <w:rPr>
          <w:b/>
          <w:bCs/>
          <w:i/>
          <w:iCs/>
          <w:color w:val="FF0000"/>
          <w:sz w:val="28"/>
          <w:szCs w:val="28"/>
          <w:u w:val="single"/>
          <w:lang w:eastAsia="en-US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«КИЇВЕНЕРГО»</w:t>
      </w:r>
      <w:bookmarkStart w:id="19" w:name="n18"/>
      <w:bookmarkEnd w:id="19"/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3.2. Код за ЄДРПОУ/реєстраційний номер облікової картки платника податків. 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Код за ЄДРПОУ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00131305</w:t>
      </w:r>
    </w:p>
    <w:p w:rsidR="00666A23" w:rsidRPr="00CD43BA" w:rsidRDefault="00666A23" w:rsidP="00925E87">
      <w:pPr>
        <w:ind w:firstLine="708"/>
        <w:jc w:val="both"/>
        <w:rPr>
          <w:b/>
          <w:bCs/>
          <w:sz w:val="28"/>
          <w:szCs w:val="28"/>
        </w:rPr>
      </w:pPr>
      <w:bookmarkStart w:id="20" w:name="BM102"/>
      <w:bookmarkEnd w:id="20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Площа Івана Франка, будинок 5, 01001, м. Київ , тел</w:t>
      </w:r>
      <w:r w:rsidRPr="00784489">
        <w:rPr>
          <w:b/>
          <w:bCs/>
          <w:i/>
          <w:iCs/>
          <w:sz w:val="28"/>
          <w:szCs w:val="28"/>
          <w:u w:val="single"/>
          <w:lang w:eastAsia="en-US"/>
        </w:rPr>
        <w:t xml:space="preserve">. </w:t>
      </w:r>
      <w:r w:rsidRPr="00DA2A05">
        <w:rPr>
          <w:b/>
          <w:bCs/>
          <w:i/>
          <w:iCs/>
          <w:sz w:val="28"/>
          <w:szCs w:val="28"/>
          <w:u w:val="single"/>
        </w:rPr>
        <w:t xml:space="preserve">(044) 289-64-41, </w:t>
      </w:r>
      <w:r>
        <w:rPr>
          <w:b/>
          <w:bCs/>
          <w:i/>
          <w:iCs/>
          <w:sz w:val="28"/>
          <w:szCs w:val="28"/>
          <w:u w:val="single"/>
        </w:rPr>
        <w:t xml:space="preserve">телефакс </w:t>
      </w:r>
      <w:r w:rsidRPr="00DA2A05">
        <w:rPr>
          <w:b/>
          <w:bCs/>
          <w:i/>
          <w:iCs/>
          <w:sz w:val="28"/>
          <w:szCs w:val="28"/>
          <w:u w:val="single"/>
        </w:rPr>
        <w:t>(044) 254-27-75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666A23" w:rsidRPr="002D000E" w:rsidRDefault="00666A23" w:rsidP="002D000E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2D000E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BM104"/>
      <w:bookmarkEnd w:id="21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666A23" w:rsidRPr="002D000E" w:rsidRDefault="00666A23" w:rsidP="002D000E">
      <w:pPr>
        <w:pStyle w:val="NormalWeb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2D000E">
        <w:rPr>
          <w:i/>
          <w:iCs/>
          <w:sz w:val="28"/>
          <w:szCs w:val="28"/>
          <w:u w:val="single"/>
        </w:rPr>
        <w:t>Будинки НРКУ (</w:t>
      </w:r>
      <w:r w:rsidRPr="002D000E">
        <w:rPr>
          <w:i/>
          <w:iCs/>
          <w:color w:val="000000"/>
          <w:sz w:val="28"/>
          <w:szCs w:val="28"/>
          <w:u w:val="single"/>
        </w:rPr>
        <w:t>за адресами м. Київ: вул. Хрещатик, буд. №26; вул. Б. Грінченка, буд. №№ 9, 11; вул. Л. Первомайського, буд. № 5-А.)</w:t>
      </w:r>
      <w:r w:rsidRPr="002D000E">
        <w:rPr>
          <w:i/>
          <w:iCs/>
          <w:sz w:val="28"/>
          <w:szCs w:val="28"/>
          <w:u w:val="single"/>
        </w:rPr>
        <w:t xml:space="preserve">  фізично приєднані до теплових мереж ПАТ "КИЇВЕНЕРГО", що забезпечує роботу центральної апаратної, п'яти мовних студій, апаратно студійних блоків запису і мовлення та інших</w:t>
      </w:r>
      <w:r w:rsidRPr="00526F80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виробничих </w:t>
      </w:r>
      <w:r w:rsidRPr="002D000E">
        <w:rPr>
          <w:i/>
          <w:iCs/>
          <w:sz w:val="28"/>
          <w:szCs w:val="28"/>
          <w:u w:val="single"/>
        </w:rPr>
        <w:t xml:space="preserve"> підрозділів</w:t>
      </w:r>
      <w:r>
        <w:rPr>
          <w:i/>
          <w:iCs/>
          <w:sz w:val="28"/>
          <w:szCs w:val="28"/>
          <w:u w:val="single"/>
        </w:rPr>
        <w:t xml:space="preserve"> для виконання держзамовлення з виготовлення та трансляції радіопрограм радіомовлення, яке здійснюється цілодобово</w:t>
      </w:r>
      <w:r w:rsidRPr="002D000E">
        <w:rPr>
          <w:i/>
          <w:iCs/>
          <w:sz w:val="28"/>
          <w:szCs w:val="28"/>
          <w:u w:val="single"/>
        </w:rPr>
        <w:t xml:space="preserve">. </w:t>
      </w:r>
    </w:p>
    <w:p w:rsidR="00666A23" w:rsidRPr="002D000E" w:rsidRDefault="00666A23" w:rsidP="002D000E">
      <w:pPr>
        <w:pStyle w:val="NormalWeb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2D000E">
        <w:rPr>
          <w:i/>
          <w:iCs/>
          <w:color w:val="000000"/>
          <w:sz w:val="28"/>
          <w:szCs w:val="28"/>
          <w:u w:val="single"/>
        </w:rPr>
        <w:t>Теплопостачання має бути цілодобовим, стабільним і дотримувати договірн</w:t>
      </w:r>
      <w:r>
        <w:rPr>
          <w:i/>
          <w:iCs/>
          <w:color w:val="000000"/>
          <w:sz w:val="28"/>
          <w:szCs w:val="28"/>
          <w:u w:val="single"/>
        </w:rPr>
        <w:t>у</w:t>
      </w:r>
      <w:r w:rsidRPr="002D000E">
        <w:rPr>
          <w:i/>
          <w:iCs/>
          <w:color w:val="000000"/>
          <w:sz w:val="28"/>
          <w:szCs w:val="28"/>
          <w:u w:val="single"/>
        </w:rPr>
        <w:t xml:space="preserve"> величин</w:t>
      </w:r>
      <w:r>
        <w:rPr>
          <w:i/>
          <w:iCs/>
          <w:color w:val="000000"/>
          <w:sz w:val="28"/>
          <w:szCs w:val="28"/>
          <w:u w:val="single"/>
        </w:rPr>
        <w:t>у</w:t>
      </w:r>
      <w:r w:rsidRPr="002D000E">
        <w:rPr>
          <w:i/>
          <w:iCs/>
          <w:color w:val="000000"/>
          <w:sz w:val="28"/>
          <w:szCs w:val="28"/>
          <w:u w:val="single"/>
        </w:rPr>
        <w:t xml:space="preserve"> потужності, гарантований рівень надійності, граничні показники якості теплової енергії в межах показників, визначених державними стандартами.</w:t>
      </w:r>
    </w:p>
    <w:p w:rsidR="00666A23" w:rsidRPr="002D000E" w:rsidRDefault="00666A23" w:rsidP="002D000E">
      <w:pPr>
        <w:pStyle w:val="Default"/>
        <w:ind w:firstLine="708"/>
        <w:jc w:val="both"/>
        <w:rPr>
          <w:i/>
          <w:iCs/>
          <w:sz w:val="28"/>
          <w:szCs w:val="28"/>
          <w:u w:val="single"/>
        </w:rPr>
      </w:pPr>
      <w:r w:rsidRPr="002D000E">
        <w:rPr>
          <w:i/>
          <w:iCs/>
          <w:sz w:val="28"/>
          <w:szCs w:val="28"/>
          <w:u w:val="single"/>
        </w:rPr>
        <w:t>Відповідно до ст. 5 Закону України «Про природні монополії», п. 3 та 4 Розпорядження Антимонопольного комітету України від 19.12.2012 року №847-р «Про затвердження Положення про ведення зведеного переліку суб’єктів природних монополій», зведений перелік суб’єктів природних монополій міста Києва в установленому порядку розміщуються на офіційному веб-сайті Антимонопольного комітету України (</w:t>
      </w:r>
      <w:hyperlink r:id="rId7" w:history="1">
        <w:r w:rsidRPr="002D000E">
          <w:rPr>
            <w:rStyle w:val="Hyperlink"/>
            <w:i/>
            <w:iCs/>
            <w:sz w:val="28"/>
            <w:szCs w:val="28"/>
          </w:rPr>
          <w:t>http://www.amc.gov.ua</w:t>
        </w:r>
      </w:hyperlink>
      <w:r w:rsidRPr="002D000E">
        <w:rPr>
          <w:i/>
          <w:iCs/>
          <w:sz w:val="28"/>
          <w:szCs w:val="28"/>
          <w:u w:val="single"/>
        </w:rPr>
        <w:t xml:space="preserve">). </w:t>
      </w:r>
    </w:p>
    <w:p w:rsidR="00666A23" w:rsidRPr="00FE2862" w:rsidRDefault="00666A23" w:rsidP="002D000E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FE2862">
        <w:rPr>
          <w:i/>
          <w:iCs/>
          <w:color w:val="000000"/>
          <w:sz w:val="28"/>
          <w:szCs w:val="28"/>
          <w:u w:val="single"/>
        </w:rPr>
        <w:t xml:space="preserve">Згідно зазначеного вище переліку, Публічне акціонерне товариство «КИЇВЕНЕРГО» займає монопольне становище на ринку транспортування теплової енергії магістральними та місцевими (розподільчими) тепловими мережами в м. Києві, які надані в управління, повне господарське відання, користування, концесію Товариству. </w:t>
      </w:r>
    </w:p>
    <w:p w:rsidR="00666A23" w:rsidRPr="002D000E" w:rsidRDefault="00666A23" w:rsidP="002D000E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sz w:val="28"/>
          <w:szCs w:val="28"/>
        </w:rPr>
        <w:t xml:space="preserve">Враховуючи вищевикладене, для закупівлі у ПАТ «КИЇВЕНЕРГО» 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Пари та гарячої води; постачання пари та гарячої води (теплова енергія), код за ДК 016-2010: 35.30.1 </w:t>
      </w:r>
      <w:r w:rsidRPr="002D000E">
        <w:rPr>
          <w:sz w:val="28"/>
          <w:szCs w:val="28"/>
        </w:rPr>
        <w:t xml:space="preserve">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2D000E">
        <w:rPr>
          <w:b/>
          <w:bCs/>
          <w:i/>
          <w:iCs/>
          <w:sz w:val="28"/>
          <w:szCs w:val="28"/>
          <w:u w:val="single"/>
        </w:rPr>
        <w:t>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666A23" w:rsidRPr="002D000E" w:rsidRDefault="00666A23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666A23" w:rsidRPr="002D000E" w:rsidRDefault="00666A23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666A23" w:rsidRPr="00784489" w:rsidRDefault="00666A23" w:rsidP="00784489">
      <w:pPr>
        <w:tabs>
          <w:tab w:val="num" w:pos="1152"/>
        </w:tabs>
        <w:jc w:val="both"/>
        <w:rPr>
          <w:b/>
          <w:bCs/>
          <w:i/>
          <w:iCs/>
          <w:sz w:val="28"/>
          <w:szCs w:val="28"/>
          <w:u w:val="single"/>
          <w:lang w:eastAsia="ar-SA"/>
        </w:rPr>
      </w:pPr>
      <w:bookmarkStart w:id="22" w:name="BM105"/>
      <w:bookmarkEnd w:id="22"/>
      <w:r w:rsidRPr="002D000E">
        <w:rPr>
          <w:b/>
          <w:bCs/>
          <w:sz w:val="28"/>
          <w:szCs w:val="28"/>
          <w:lang w:eastAsia="ru-RU"/>
        </w:rPr>
        <w:t xml:space="preserve">- 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Витяг з офіційного веб-сайту Антимонопольного комітету України (www.amc.gov.ua),</w:t>
      </w:r>
      <w:r w:rsidRPr="00FE286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якому вказано, що </w:t>
      </w:r>
      <w:r w:rsidRPr="00784489">
        <w:rPr>
          <w:b/>
          <w:bCs/>
          <w:i/>
          <w:iCs/>
          <w:sz w:val="28"/>
          <w:szCs w:val="28"/>
          <w:u w:val="single"/>
          <w:lang w:eastAsia="ru-RU"/>
        </w:rPr>
        <w:t>с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>таном на 15.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>12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.2014 р. ПАТ «КИЇВЕНЕРГО» включено до пункту 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>269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«ЗВЕДЕНОГО ПЕРЕЛІКУ СУБ'ЄКТІВ ПРИРОДНИХ МОНОПОЛІЙ» як суб'єкт природних монополій у сфері </w:t>
      </w:r>
      <w:r w:rsidRPr="00784489">
        <w:rPr>
          <w:b/>
          <w:bCs/>
          <w:i/>
          <w:iCs/>
          <w:sz w:val="28"/>
          <w:szCs w:val="28"/>
          <w:u w:val="single"/>
        </w:rPr>
        <w:t>транспортування теплової енергії магістральними та місцевими (розподільчими) тепловими мережами в м. Києві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 xml:space="preserve">. </w:t>
      </w:r>
    </w:p>
    <w:p w:rsidR="00666A23" w:rsidRPr="00FE2862" w:rsidRDefault="00666A23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Закон  України  "Про  природні  монополії" від 20.04.2000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р.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 № 1682- III;</w:t>
      </w:r>
    </w:p>
    <w:p w:rsidR="00666A23" w:rsidRPr="00FE2862" w:rsidRDefault="00666A23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Закон України „Про здійснення державних закупівель” </w:t>
      </w:r>
      <w:r w:rsidRPr="00FE2862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від 10.04.2014р. № 1197-VII</w:t>
      </w:r>
      <w:r w:rsidRPr="00784489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.</w:t>
      </w:r>
    </w:p>
    <w:p w:rsidR="00666A23" w:rsidRPr="00784489" w:rsidRDefault="00666A23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666A23" w:rsidRDefault="00666A23" w:rsidP="00784489">
      <w:pPr>
        <w:ind w:firstLine="708"/>
        <w:rPr>
          <w:b/>
          <w:bCs/>
          <w:sz w:val="28"/>
          <w:szCs w:val="28"/>
        </w:rPr>
      </w:pPr>
    </w:p>
    <w:p w:rsidR="00666A23" w:rsidRPr="00784489" w:rsidRDefault="00666A23" w:rsidP="00784489">
      <w:pPr>
        <w:ind w:firstLine="708"/>
        <w:rPr>
          <w:b/>
          <w:bCs/>
          <w:sz w:val="28"/>
          <w:szCs w:val="28"/>
        </w:rPr>
      </w:pPr>
      <w:r w:rsidRPr="00784489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666A23" w:rsidRPr="00784489" w:rsidRDefault="00666A23" w:rsidP="00784489">
      <w:pPr>
        <w:ind w:firstLine="708"/>
        <w:rPr>
          <w:color w:val="000000"/>
          <w:sz w:val="26"/>
          <w:szCs w:val="26"/>
        </w:rPr>
      </w:pPr>
      <w:r w:rsidRPr="00784489">
        <w:rPr>
          <w:b/>
          <w:bCs/>
          <w:sz w:val="28"/>
          <w:szCs w:val="28"/>
        </w:rPr>
        <w:t xml:space="preserve">Табаченко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666A23" w:rsidRPr="00CD43BA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Pr="00CD43BA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Pr="00CD43BA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Default="00666A23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A23" w:rsidRPr="001E3EC2" w:rsidRDefault="00666A23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666A23" w:rsidRPr="001E3EC2" w:rsidRDefault="00666A23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666A23" w:rsidRPr="001E3EC2" w:rsidRDefault="00666A23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666A23" w:rsidRPr="001E3EC2" w:rsidRDefault="00666A23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666A23" w:rsidRPr="001E3EC2" w:rsidRDefault="00666A23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666A23" w:rsidRPr="00876CAE" w:rsidRDefault="00666A23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666A23" w:rsidRPr="007417A4" w:rsidRDefault="00666A23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666A23" w:rsidRPr="007417A4" w:rsidRDefault="00666A23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666A23" w:rsidRPr="001E3EC2" w:rsidRDefault="00666A23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666A23" w:rsidRPr="001E3EC2" w:rsidRDefault="00666A23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666A23" w:rsidRPr="001E3EC2" w:rsidRDefault="00666A23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666A23" w:rsidRDefault="00666A23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666A23" w:rsidRPr="001E3EC2" w:rsidRDefault="00666A23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666A23" w:rsidRPr="001E3EC2" w:rsidRDefault="00666A23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BM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666A23" w:rsidRPr="001E3EC2" w:rsidRDefault="00666A23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666A23" w:rsidRPr="001E3EC2" w:rsidRDefault="00666A23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BM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666A23" w:rsidRPr="00990A26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BM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BM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666A23" w:rsidRPr="001E3EC2" w:rsidRDefault="00666A23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666A23" w:rsidRDefault="00666A23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666A23" w:rsidRPr="001E3EC2" w:rsidRDefault="00666A23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666A23" w:rsidRPr="00C523A6" w:rsidRDefault="00666A23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666A23" w:rsidRDefault="00666A23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666A23" w:rsidSect="00784489">
      <w:headerReference w:type="default" r:id="rId8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23" w:rsidRDefault="00666A23" w:rsidP="00CD43BA">
      <w:r>
        <w:separator/>
      </w:r>
    </w:p>
  </w:endnote>
  <w:endnote w:type="continuationSeparator" w:id="0">
    <w:p w:rsidR="00666A23" w:rsidRDefault="00666A23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23" w:rsidRDefault="00666A23" w:rsidP="00CD43BA">
      <w:r>
        <w:separator/>
      </w:r>
    </w:p>
  </w:footnote>
  <w:footnote w:type="continuationSeparator" w:id="0">
    <w:p w:rsidR="00666A23" w:rsidRDefault="00666A23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23" w:rsidRDefault="00666A23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916BF"/>
    <w:rsid w:val="000C7871"/>
    <w:rsid w:val="000E1B94"/>
    <w:rsid w:val="001E3EC2"/>
    <w:rsid w:val="001F2870"/>
    <w:rsid w:val="00234E1F"/>
    <w:rsid w:val="00277D83"/>
    <w:rsid w:val="0029533D"/>
    <w:rsid w:val="002D000E"/>
    <w:rsid w:val="003851F2"/>
    <w:rsid w:val="003F577D"/>
    <w:rsid w:val="0043152E"/>
    <w:rsid w:val="004C4AEB"/>
    <w:rsid w:val="00501084"/>
    <w:rsid w:val="0052514D"/>
    <w:rsid w:val="00526F80"/>
    <w:rsid w:val="00654D2B"/>
    <w:rsid w:val="00666A23"/>
    <w:rsid w:val="006739CA"/>
    <w:rsid w:val="006E6B62"/>
    <w:rsid w:val="00712103"/>
    <w:rsid w:val="007417A4"/>
    <w:rsid w:val="00784489"/>
    <w:rsid w:val="00876CAE"/>
    <w:rsid w:val="008B22BF"/>
    <w:rsid w:val="00925E87"/>
    <w:rsid w:val="00990A26"/>
    <w:rsid w:val="00A548A4"/>
    <w:rsid w:val="00BE6A40"/>
    <w:rsid w:val="00BE6D50"/>
    <w:rsid w:val="00C11246"/>
    <w:rsid w:val="00C523A6"/>
    <w:rsid w:val="00CB7763"/>
    <w:rsid w:val="00CD43BA"/>
    <w:rsid w:val="00DA2A05"/>
    <w:rsid w:val="00DF3C42"/>
    <w:rsid w:val="00E63982"/>
    <w:rsid w:val="00E73202"/>
    <w:rsid w:val="00F03C89"/>
    <w:rsid w:val="00F175C3"/>
    <w:rsid w:val="00F41DCE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5668</Words>
  <Characters>3232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2014-12-30T12:15:00Z</cp:lastPrinted>
  <dcterms:created xsi:type="dcterms:W3CDTF">2015-01-12T14:30:00Z</dcterms:created>
  <dcterms:modified xsi:type="dcterms:W3CDTF">2015-01-12T14:30:00Z</dcterms:modified>
</cp:coreProperties>
</file>