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F" w:rsidRPr="002D000E" w:rsidRDefault="000D350F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0D350F" w:rsidRPr="002D000E" w:rsidRDefault="000D350F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0D350F" w:rsidRPr="00C563B3" w:rsidRDefault="000D350F" w:rsidP="00C563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  <w:u w:val="single"/>
        </w:rPr>
      </w:pPr>
      <w:bookmarkStart w:id="7" w:name="BM92"/>
      <w:bookmarkEnd w:id="7"/>
      <w:r>
        <w:rPr>
          <w:sz w:val="28"/>
          <w:szCs w:val="28"/>
        </w:rPr>
        <w:tab/>
      </w:r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C563B3">
        <w:rPr>
          <w:b/>
          <w:bCs/>
          <w:i/>
          <w:iCs/>
          <w:sz w:val="28"/>
          <w:szCs w:val="28"/>
          <w:u w:val="single"/>
          <w:lang w:eastAsia="en-US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</w:t>
      </w:r>
      <w:r w:rsidRPr="00C563B3">
        <w:rPr>
          <w:b/>
          <w:bCs/>
          <w:i/>
          <w:iCs/>
          <w:sz w:val="28"/>
          <w:szCs w:val="28"/>
          <w:u w:val="single"/>
          <w:lang w:eastAsia="en-US"/>
        </w:rPr>
        <w:t xml:space="preserve">(044) 239-60-76, e-mail: 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Lakhno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@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nrcu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.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gov</w:t>
      </w:r>
      <w:r w:rsidRPr="00C563B3">
        <w:rPr>
          <w:b/>
          <w:bCs/>
          <w:i/>
          <w:iCs/>
          <w:sz w:val="28"/>
          <w:szCs w:val="28"/>
          <w:u w:val="single"/>
          <w:lang w:val="ru-RU" w:eastAsia="en-US"/>
        </w:rPr>
        <w:t>.</w:t>
      </w:r>
      <w:r w:rsidRPr="00C563B3">
        <w:rPr>
          <w:b/>
          <w:bCs/>
          <w:i/>
          <w:iCs/>
          <w:sz w:val="28"/>
          <w:szCs w:val="28"/>
          <w:u w:val="single"/>
          <w:lang w:val="en-US" w:eastAsia="en-US"/>
        </w:rPr>
        <w:t>ua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2</w:t>
      </w:r>
      <w:r w:rsidRPr="00F03C8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6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3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.2015</w:t>
      </w:r>
    </w:p>
    <w:p w:rsidR="000D350F" w:rsidRPr="002D000E" w:rsidRDefault="000D350F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0D350F" w:rsidRPr="002D000E" w:rsidRDefault="000D350F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0D350F" w:rsidRDefault="000D350F" w:rsidP="002D000E">
      <w:pPr>
        <w:widowControl w:val="0"/>
        <w:ind w:firstLine="708"/>
        <w:jc w:val="both"/>
        <w:rPr>
          <w:sz w:val="28"/>
          <w:szCs w:val="28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</w:p>
    <w:p w:rsidR="000D350F" w:rsidRPr="00D64212" w:rsidRDefault="000D350F" w:rsidP="00D64212">
      <w:pPr>
        <w:spacing w:after="200" w:line="276" w:lineRule="auto"/>
        <w:ind w:firstLine="708"/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Послуги телекомунікаційні, інші. Код ДК 016:2010, 61.90.1 (61.90.10-00.00):</w:t>
      </w:r>
    </w:p>
    <w:p w:rsidR="000D350F" w:rsidRPr="00D64212" w:rsidRDefault="000D350F" w:rsidP="00D64212">
      <w:pPr>
        <w:widowControl w:val="0"/>
        <w:tabs>
          <w:tab w:val="left" w:pos="1440"/>
        </w:tabs>
        <w:spacing w:after="200" w:line="276" w:lineRule="auto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№1 </w:t>
      </w:r>
      <w:r w:rsidRPr="00D64212">
        <w:rPr>
          <w:i/>
          <w:iCs/>
          <w:sz w:val="28"/>
          <w:szCs w:val="28"/>
          <w:u w:val="single"/>
        </w:rPr>
        <w:t xml:space="preserve">- Послуги з трансляції радіопрограм, вироблених для державних потреб -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 Вінницька філія Публічного акціонерного товариства “Укртелеком”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№2 - </w:t>
      </w:r>
      <w:r w:rsidRPr="00D64212">
        <w:rPr>
          <w:i/>
          <w:iCs/>
          <w:sz w:val="28"/>
          <w:szCs w:val="28"/>
          <w:u w:val="single"/>
        </w:rPr>
        <w:t xml:space="preserve">Послуги з трансляції радіопрограм, вироблених для державних потреб -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Концерн радіомовлення, радіозв’язку та телебачення</w:t>
      </w:r>
      <w:r w:rsidRPr="00D64212">
        <w:rPr>
          <w:i/>
          <w:iCs/>
          <w:sz w:val="28"/>
          <w:szCs w:val="28"/>
          <w:u w:val="single"/>
        </w:rPr>
        <w:t xml:space="preserve"> 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i/>
          <w:iCs/>
          <w:sz w:val="28"/>
          <w:szCs w:val="28"/>
          <w:u w:val="single"/>
        </w:rPr>
        <w:t>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№3 </w:t>
      </w:r>
      <w:r w:rsidRPr="00D64212">
        <w:rPr>
          <w:i/>
          <w:iCs/>
          <w:sz w:val="28"/>
          <w:szCs w:val="28"/>
          <w:u w:val="single"/>
        </w:rPr>
        <w:t xml:space="preserve">- Послуги з трансляції радіопрограм, вироблених для державних потреб -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Державне підприємство “Одеський обласний радіотелевізійний передавальний центр”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 xml:space="preserve"> 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№4 </w:t>
      </w:r>
      <w:r w:rsidRPr="00D64212">
        <w:rPr>
          <w:i/>
          <w:iCs/>
          <w:sz w:val="28"/>
          <w:szCs w:val="28"/>
          <w:u w:val="single"/>
        </w:rPr>
        <w:t xml:space="preserve">- Послуги з трансляції радіопрограм, вироблених для державних потреб -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Товариство з обмеженою відповідальністю  “Телемережі України”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№5 - </w:t>
      </w:r>
      <w:r w:rsidRPr="00D64212">
        <w:rPr>
          <w:i/>
          <w:iCs/>
          <w:sz w:val="28"/>
          <w:szCs w:val="28"/>
          <w:u w:val="single"/>
        </w:rPr>
        <w:t xml:space="preserve">Послуги з трансляції радіопрограм, вироблених для державних потреб – </w:t>
      </w:r>
      <w:r w:rsidRPr="00D64212">
        <w:rPr>
          <w:b/>
          <w:bCs/>
          <w:i/>
          <w:iCs/>
          <w:sz w:val="28"/>
          <w:szCs w:val="28"/>
          <w:u w:val="single"/>
        </w:rPr>
        <w:t xml:space="preserve">оператор Комунальне підприємство редакція Долинського районного радіомовлення 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№6 - </w:t>
      </w:r>
      <w:r w:rsidRPr="00D64212">
        <w:rPr>
          <w:i/>
          <w:iCs/>
          <w:sz w:val="28"/>
          <w:szCs w:val="28"/>
          <w:u w:val="single"/>
        </w:rPr>
        <w:t xml:space="preserve">Послуги з трансляції радіопрограм, вироблених для державних потреб -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Державне підприємство “Харківський обласний радіотелевізійний передавальний центр”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№7 - </w:t>
      </w:r>
      <w:r w:rsidRPr="00D64212">
        <w:rPr>
          <w:i/>
          <w:iCs/>
          <w:sz w:val="28"/>
          <w:szCs w:val="28"/>
          <w:u w:val="single"/>
        </w:rPr>
        <w:t xml:space="preserve">Послуги з трансляції радіопрограм, вироблених для державних потреб – </w:t>
      </w:r>
      <w:r w:rsidRPr="00D64212">
        <w:rPr>
          <w:b/>
          <w:bCs/>
          <w:i/>
          <w:iCs/>
          <w:sz w:val="28"/>
          <w:szCs w:val="28"/>
          <w:u w:val="single"/>
        </w:rPr>
        <w:t>оператор Комунальне підприємство Сокирянської районної ради “Телерадіоорганізація “Сокиряни”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 xml:space="preserve"> ;</w:t>
      </w:r>
      <w:r w:rsidRPr="00D64212">
        <w:rPr>
          <w:i/>
          <w:iCs/>
          <w:sz w:val="28"/>
          <w:szCs w:val="28"/>
          <w:u w:val="single"/>
        </w:rPr>
        <w:t xml:space="preserve">  </w:t>
      </w: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i/>
          <w:iCs/>
          <w:sz w:val="28"/>
          <w:szCs w:val="28"/>
          <w:u w:val="single"/>
        </w:rPr>
      </w:pPr>
    </w:p>
    <w:p w:rsidR="000D350F" w:rsidRPr="00D64212" w:rsidRDefault="000D350F" w:rsidP="00D64212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D64212">
        <w:rPr>
          <w:b/>
          <w:bCs/>
          <w:i/>
          <w:iCs/>
          <w:sz w:val="28"/>
          <w:szCs w:val="28"/>
          <w:u w:val="single"/>
        </w:rPr>
        <w:t xml:space="preserve">ЛОТ №8 - </w:t>
      </w:r>
      <w:r w:rsidRPr="00D64212">
        <w:rPr>
          <w:i/>
          <w:iCs/>
          <w:sz w:val="28"/>
          <w:szCs w:val="28"/>
          <w:u w:val="single"/>
        </w:rPr>
        <w:t xml:space="preserve">Послуги з трансляції радіопрограм, вироблених для державних потреб – </w:t>
      </w:r>
      <w:r w:rsidRPr="00D64212">
        <w:rPr>
          <w:b/>
          <w:bCs/>
          <w:i/>
          <w:iCs/>
          <w:sz w:val="28"/>
          <w:szCs w:val="28"/>
          <w:u w:val="single"/>
        </w:rPr>
        <w:t xml:space="preserve">оператор Обласне комунальне підприємство “Агроінформ” </w:t>
      </w:r>
      <w:r w:rsidRPr="00D64212">
        <w:rPr>
          <w:b/>
          <w:bCs/>
          <w:i/>
          <w:iCs/>
          <w:sz w:val="28"/>
          <w:szCs w:val="28"/>
          <w:u w:val="single"/>
          <w:lang w:eastAsia="en-US"/>
        </w:rPr>
        <w:t>(61.90.10-00.00)</w:t>
      </w:r>
      <w:r w:rsidRPr="00D64212">
        <w:rPr>
          <w:b/>
          <w:bCs/>
          <w:i/>
          <w:iCs/>
          <w:sz w:val="28"/>
          <w:szCs w:val="28"/>
          <w:u w:val="single"/>
        </w:rPr>
        <w:t xml:space="preserve">.  </w:t>
      </w:r>
    </w:p>
    <w:p w:rsidR="000D350F" w:rsidRPr="002D000E" w:rsidRDefault="000D350F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sz w:val="28"/>
          <w:szCs w:val="28"/>
        </w:rPr>
        <w:t xml:space="preserve"> 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     </w:t>
      </w:r>
    </w:p>
    <w:p w:rsidR="000D350F" w:rsidRDefault="000D350F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BM96"/>
      <w:bookmarkEnd w:id="12"/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bookmarkStart w:id="13" w:name="BM97"/>
      <w:bookmarkStart w:id="14" w:name="BM99"/>
      <w:bookmarkEnd w:id="13"/>
      <w:bookmarkEnd w:id="14"/>
      <w:r w:rsidRPr="007B5D5E">
        <w:rPr>
          <w:b/>
          <w:bCs/>
          <w:i/>
          <w:iCs/>
          <w:sz w:val="28"/>
          <w:szCs w:val="28"/>
          <w:u w:val="single"/>
        </w:rPr>
        <w:t xml:space="preserve">ЛОТ №1 -  трансляція першої радіопрограми в УКХ- та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діапазонах;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№2 - трансляція першої, другої, третьої та радіопрограм іномовлення  в УКХ,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,  СХ-діапазонах та супутниковим ретранслятором “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ASTRA</w:t>
      </w:r>
      <w:r w:rsidRPr="007B5D5E">
        <w:rPr>
          <w:b/>
          <w:bCs/>
          <w:i/>
          <w:iCs/>
          <w:sz w:val="28"/>
          <w:szCs w:val="28"/>
          <w:u w:val="single"/>
        </w:rPr>
        <w:t xml:space="preserve"> 4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A</w:t>
      </w:r>
      <w:r w:rsidRPr="007B5D5E">
        <w:rPr>
          <w:b/>
          <w:bCs/>
          <w:i/>
          <w:iCs/>
          <w:sz w:val="28"/>
          <w:szCs w:val="28"/>
          <w:u w:val="single"/>
        </w:rPr>
        <w:t xml:space="preserve">”; 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№3 -  трансляція першої на СХ та першої і третьої радіопрограм  в  УКХ- та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діапазонах;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№4 - трансляція першої та третьої радіопрограм в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діапазоні;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№5 - трансляція першої радіопрограми в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 xml:space="preserve">- діапазоні; 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№6 - трансляція першої радіопрограми на СХ та трьох радіопрограм в УКХ - та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діапазонах;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№7 - трансляція третьої радіопрограми в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діапазоні;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№8 - трансляція першої радіопрограми в </w:t>
      </w:r>
      <w:r w:rsidRPr="007B5D5E">
        <w:rPr>
          <w:b/>
          <w:bCs/>
          <w:i/>
          <w:iCs/>
          <w:sz w:val="28"/>
          <w:szCs w:val="28"/>
          <w:u w:val="single"/>
          <w:lang w:val="en-US"/>
        </w:rPr>
        <w:t>FM</w:t>
      </w:r>
      <w:r w:rsidRPr="007B5D5E">
        <w:rPr>
          <w:b/>
          <w:bCs/>
          <w:i/>
          <w:iCs/>
          <w:sz w:val="28"/>
          <w:szCs w:val="28"/>
          <w:u w:val="single"/>
        </w:rPr>
        <w:t>- діапазоні.</w:t>
      </w:r>
    </w:p>
    <w:p w:rsidR="000D350F" w:rsidRPr="007B5D5E" w:rsidRDefault="000D350F" w:rsidP="007B5D5E">
      <w:pPr>
        <w:jc w:val="both"/>
        <w:rPr>
          <w:sz w:val="28"/>
          <w:szCs w:val="28"/>
        </w:rPr>
      </w:pPr>
    </w:p>
    <w:p w:rsidR="000D350F" w:rsidRDefault="000D350F" w:rsidP="00A473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№1 -  Вінницька область;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№2 – Україна, Європа;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№3 -  Одеська область;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№4 - Україна;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 xml:space="preserve">ЛОТ №5 – Долинський район Кіровоградської області; 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№6 - Харківська та прилеглі області;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№7 – м. Сокиряни Чернівецької області;</w:t>
      </w:r>
    </w:p>
    <w:p w:rsidR="000D350F" w:rsidRPr="007B5D5E" w:rsidRDefault="000D350F" w:rsidP="007B5D5E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7B5D5E">
        <w:rPr>
          <w:b/>
          <w:bCs/>
          <w:i/>
          <w:iCs/>
          <w:sz w:val="28"/>
          <w:szCs w:val="28"/>
          <w:u w:val="single"/>
        </w:rPr>
        <w:t>ЛОТ №8 – Крижопільський та Чечельницький райони Вінницької області.</w:t>
      </w:r>
    </w:p>
    <w:p w:rsidR="000D350F" w:rsidRDefault="000D350F" w:rsidP="00A473F6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350F" w:rsidRPr="00CC6327" w:rsidRDefault="000D350F" w:rsidP="00A473F6">
      <w:pPr>
        <w:widowControl w:val="0"/>
        <w:tabs>
          <w:tab w:val="left" w:pos="1440"/>
        </w:tabs>
        <w:ind w:left="708" w:firstLine="12"/>
        <w:jc w:val="both"/>
        <w:rPr>
          <w:b/>
          <w:bCs/>
          <w:i/>
          <w:iCs/>
          <w:u w:val="single"/>
        </w:rPr>
      </w:pPr>
      <w:r w:rsidRPr="00A473F6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CC6327">
        <w:rPr>
          <w:b/>
          <w:bCs/>
          <w:i/>
          <w:iCs/>
          <w:u w:val="single"/>
        </w:rPr>
        <w:t>ЛОТ №1  - січень –</w:t>
      </w:r>
      <w:r w:rsidRPr="00A473F6">
        <w:rPr>
          <w:b/>
          <w:bCs/>
          <w:i/>
          <w:iCs/>
          <w:u w:val="single"/>
        </w:rPr>
        <w:t xml:space="preserve"> грудень 2015</w:t>
      </w:r>
      <w:r w:rsidRPr="00CC6327">
        <w:rPr>
          <w:b/>
          <w:bCs/>
          <w:i/>
          <w:iCs/>
          <w:u w:val="single"/>
        </w:rPr>
        <w:t>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№2  -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№3  -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№4  -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№5  - 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№6  - 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№7  -  січень – грудень 2015;</w:t>
      </w:r>
    </w:p>
    <w:p w:rsidR="000D350F" w:rsidRPr="00A473F6" w:rsidRDefault="000D350F" w:rsidP="00A473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A473F6">
        <w:rPr>
          <w:b/>
          <w:bCs/>
          <w:i/>
          <w:iCs/>
          <w:u w:val="single"/>
        </w:rPr>
        <w:t>ЛОТ №8  -  січень – грудень 2015;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0D350F" w:rsidRDefault="000D350F" w:rsidP="002D000E">
      <w:pPr>
        <w:ind w:firstLine="708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№1 - Вінницька філія Публічного акціонерного товариства</w:t>
      </w:r>
      <w:r>
        <w:rPr>
          <w:b/>
          <w:bCs/>
          <w:i/>
          <w:iCs/>
          <w:sz w:val="28"/>
          <w:szCs w:val="28"/>
          <w:u w:val="single"/>
        </w:rPr>
        <w:t xml:space="preserve"> “Укртелеком”- </w:t>
      </w:r>
      <w:r w:rsidRPr="00D41CEA">
        <w:rPr>
          <w:b/>
          <w:bCs/>
          <w:i/>
          <w:iCs/>
          <w:sz w:val="28"/>
          <w:szCs w:val="28"/>
          <w:u w:val="single"/>
        </w:rPr>
        <w:t>Публічне акціонерне товариство “Укртелеком”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№2 - Концерн радіомовлення, радіозв</w:t>
      </w:r>
      <w:r>
        <w:rPr>
          <w:b/>
          <w:bCs/>
          <w:i/>
          <w:iCs/>
          <w:sz w:val="28"/>
          <w:szCs w:val="28"/>
          <w:u w:val="single"/>
        </w:rPr>
        <w:t>’язку та телебачення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№3 - Державне підприємство “Одеський обласний радіоте</w:t>
      </w:r>
      <w:r>
        <w:rPr>
          <w:b/>
          <w:bCs/>
          <w:i/>
          <w:iCs/>
          <w:sz w:val="28"/>
          <w:szCs w:val="28"/>
          <w:u w:val="single"/>
        </w:rPr>
        <w:t>левізійний передавальний центр”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№4 - Товариство з обмеженою відпові</w:t>
      </w:r>
      <w:r>
        <w:rPr>
          <w:b/>
          <w:bCs/>
          <w:i/>
          <w:iCs/>
          <w:sz w:val="28"/>
          <w:szCs w:val="28"/>
          <w:u w:val="single"/>
        </w:rPr>
        <w:t>дальністю  “Телемережі України”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№5 – Комунальне підприємство редакція Долинс</w:t>
      </w:r>
      <w:r>
        <w:rPr>
          <w:b/>
          <w:bCs/>
          <w:i/>
          <w:iCs/>
          <w:sz w:val="28"/>
          <w:szCs w:val="28"/>
          <w:u w:val="single"/>
        </w:rPr>
        <w:t>ького районного радіомовлення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№6 - Державне підприємство “Харківський обласний радіоте</w:t>
      </w:r>
      <w:r>
        <w:rPr>
          <w:b/>
          <w:bCs/>
          <w:i/>
          <w:iCs/>
          <w:sz w:val="28"/>
          <w:szCs w:val="28"/>
          <w:u w:val="single"/>
        </w:rPr>
        <w:t>левізійний передавальний центр”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№7 – Комунальне підприємство Сокирянської районної ради “Телерадіоорганізація “</w:t>
      </w:r>
      <w:r>
        <w:rPr>
          <w:b/>
          <w:bCs/>
          <w:i/>
          <w:iCs/>
          <w:sz w:val="28"/>
          <w:szCs w:val="28"/>
          <w:u w:val="single"/>
        </w:rPr>
        <w:t>Сокиряни”</w:t>
      </w:r>
      <w:r w:rsidRPr="0099668F">
        <w:rPr>
          <w:b/>
          <w:bCs/>
          <w:i/>
          <w:iCs/>
          <w:sz w:val="28"/>
          <w:szCs w:val="28"/>
          <w:u w:val="single"/>
        </w:rPr>
        <w:t>;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99668F">
        <w:rPr>
          <w:b/>
          <w:bCs/>
          <w:i/>
          <w:iCs/>
          <w:sz w:val="28"/>
          <w:szCs w:val="28"/>
          <w:u w:val="single"/>
        </w:rPr>
        <w:t>ЛОТ №8 – Обласне комун</w:t>
      </w:r>
      <w:r>
        <w:rPr>
          <w:b/>
          <w:bCs/>
          <w:i/>
          <w:iCs/>
          <w:sz w:val="28"/>
          <w:szCs w:val="28"/>
          <w:u w:val="single"/>
        </w:rPr>
        <w:t>альне підприємство “Агроінформ”</w:t>
      </w:r>
      <w:r w:rsidRPr="0099668F">
        <w:rPr>
          <w:b/>
          <w:bCs/>
          <w:i/>
          <w:iCs/>
          <w:sz w:val="28"/>
          <w:szCs w:val="28"/>
          <w:u w:val="single"/>
        </w:rPr>
        <w:t>.</w:t>
      </w:r>
    </w:p>
    <w:p w:rsidR="000D350F" w:rsidRPr="0099668F" w:rsidRDefault="000D350F" w:rsidP="009966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0D350F" w:rsidRPr="0048153F" w:rsidRDefault="000D350F" w:rsidP="0048153F">
      <w:pPr>
        <w:pStyle w:val="NormalWeb"/>
        <w:spacing w:before="60" w:beforeAutospacing="0" w:after="60" w:afterAutospacing="0"/>
        <w:ind w:firstLine="720"/>
        <w:jc w:val="both"/>
        <w:rPr>
          <w:b/>
          <w:bCs/>
          <w:i/>
          <w:iCs/>
          <w:color w:val="000000"/>
          <w:u w:val="single"/>
        </w:rPr>
      </w:pPr>
      <w:r w:rsidRPr="0048153F">
        <w:rPr>
          <w:b/>
          <w:bCs/>
          <w:i/>
          <w:iCs/>
          <w:color w:val="000000"/>
          <w:u w:val="single"/>
        </w:rPr>
        <w:t xml:space="preserve">ЛОТ №1 </w:t>
      </w:r>
      <w:r>
        <w:rPr>
          <w:b/>
          <w:bCs/>
          <w:i/>
          <w:iCs/>
          <w:color w:val="000000"/>
          <w:u w:val="single"/>
        </w:rPr>
        <w:t>–</w:t>
      </w:r>
      <w:r w:rsidRPr="0048153F">
        <w:rPr>
          <w:b/>
          <w:bCs/>
          <w:i/>
          <w:iCs/>
          <w:color w:val="000000"/>
          <w:u w:val="single"/>
        </w:rPr>
        <w:t xml:space="preserve"> Код</w:t>
      </w:r>
      <w:r>
        <w:rPr>
          <w:b/>
          <w:bCs/>
          <w:i/>
          <w:iCs/>
          <w:color w:val="000000"/>
          <w:u w:val="single"/>
        </w:rPr>
        <w:t xml:space="preserve"> за</w:t>
      </w:r>
      <w:r w:rsidRPr="0048153F">
        <w:rPr>
          <w:b/>
          <w:bCs/>
          <w:i/>
          <w:iCs/>
          <w:color w:val="000000"/>
          <w:u w:val="single"/>
        </w:rPr>
        <w:t xml:space="preserve"> ЄДРПОУ </w:t>
      </w:r>
      <w:r w:rsidRPr="0048153F">
        <w:rPr>
          <w:b/>
          <w:bCs/>
          <w:i/>
          <w:iCs/>
          <w:u w:val="single"/>
        </w:rPr>
        <w:t>01182204</w:t>
      </w:r>
      <w:r>
        <w:rPr>
          <w:b/>
          <w:bCs/>
          <w:i/>
          <w:iCs/>
          <w:u w:val="single"/>
        </w:rPr>
        <w:t>,</w:t>
      </w:r>
      <w:r w:rsidRPr="003B6B7A">
        <w:rPr>
          <w:b/>
          <w:bCs/>
          <w:i/>
          <w:iCs/>
          <w:u w:val="single"/>
        </w:rPr>
        <w:t xml:space="preserve"> </w:t>
      </w:r>
      <w:r w:rsidRPr="0048153F">
        <w:rPr>
          <w:b/>
          <w:bCs/>
          <w:i/>
          <w:iCs/>
          <w:u w:val="single"/>
        </w:rPr>
        <w:t>21560766;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color w:val="000000"/>
          <w:u w:val="single"/>
        </w:rPr>
      </w:pPr>
      <w:r w:rsidRPr="0048153F">
        <w:rPr>
          <w:b/>
          <w:bCs/>
          <w:i/>
          <w:iCs/>
          <w:color w:val="000000"/>
          <w:u w:val="single"/>
        </w:rPr>
        <w:t xml:space="preserve">ЛОТ №2 - Код </w:t>
      </w:r>
      <w:r>
        <w:rPr>
          <w:b/>
          <w:bCs/>
          <w:i/>
          <w:iCs/>
          <w:color w:val="000000"/>
          <w:u w:val="single"/>
        </w:rPr>
        <w:t xml:space="preserve">за </w:t>
      </w:r>
      <w:r w:rsidRPr="0048153F">
        <w:rPr>
          <w:b/>
          <w:bCs/>
          <w:i/>
          <w:iCs/>
          <w:color w:val="000000"/>
          <w:u w:val="single"/>
        </w:rPr>
        <w:t xml:space="preserve">ЄДРПОУ </w:t>
      </w:r>
      <w:r w:rsidRPr="0048153F">
        <w:rPr>
          <w:b/>
          <w:bCs/>
          <w:i/>
          <w:iCs/>
          <w:u w:val="single"/>
        </w:rPr>
        <w:t>01190043</w:t>
      </w:r>
      <w:r>
        <w:rPr>
          <w:b/>
          <w:bCs/>
          <w:i/>
          <w:iCs/>
          <w:u w:val="single"/>
        </w:rPr>
        <w:t xml:space="preserve">; 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48153F">
        <w:rPr>
          <w:b/>
          <w:bCs/>
          <w:i/>
          <w:iCs/>
          <w:u w:val="single"/>
        </w:rPr>
        <w:t xml:space="preserve">ЛОТ№3 - Код </w:t>
      </w:r>
      <w:r>
        <w:rPr>
          <w:b/>
          <w:bCs/>
          <w:i/>
          <w:iCs/>
          <w:u w:val="single"/>
        </w:rPr>
        <w:t xml:space="preserve">за </w:t>
      </w:r>
      <w:r w:rsidRPr="0048153F">
        <w:rPr>
          <w:b/>
          <w:bCs/>
          <w:i/>
          <w:iCs/>
          <w:u w:val="single"/>
        </w:rPr>
        <w:t xml:space="preserve">ЄДРПОУ </w:t>
      </w:r>
      <w:r w:rsidRPr="0048153F">
        <w:rPr>
          <w:b/>
          <w:bCs/>
          <w:i/>
          <w:iCs/>
          <w:color w:val="000000"/>
          <w:u w:val="single"/>
        </w:rPr>
        <w:t xml:space="preserve">01188477; 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48153F">
        <w:rPr>
          <w:b/>
          <w:bCs/>
          <w:i/>
          <w:iCs/>
          <w:u w:val="single"/>
        </w:rPr>
        <w:t xml:space="preserve">ЛОТ№4 -  Код </w:t>
      </w:r>
      <w:r>
        <w:rPr>
          <w:b/>
          <w:bCs/>
          <w:i/>
          <w:iCs/>
          <w:u w:val="single"/>
        </w:rPr>
        <w:t xml:space="preserve">за </w:t>
      </w:r>
      <w:r w:rsidRPr="0048153F">
        <w:rPr>
          <w:b/>
          <w:bCs/>
          <w:i/>
          <w:iCs/>
          <w:u w:val="single"/>
        </w:rPr>
        <w:t>ЄДРПОУ 33559741;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48153F">
        <w:rPr>
          <w:b/>
          <w:bCs/>
          <w:i/>
          <w:iCs/>
          <w:u w:val="single"/>
        </w:rPr>
        <w:t>ЛОТ№</w:t>
      </w:r>
      <w:r>
        <w:rPr>
          <w:b/>
          <w:bCs/>
          <w:i/>
          <w:iCs/>
          <w:u w:val="single"/>
        </w:rPr>
        <w:t>5</w:t>
      </w:r>
      <w:r w:rsidRPr="0048153F">
        <w:rPr>
          <w:b/>
          <w:bCs/>
          <w:i/>
          <w:iCs/>
          <w:u w:val="single"/>
        </w:rPr>
        <w:t xml:space="preserve"> -  Код</w:t>
      </w:r>
      <w:r>
        <w:rPr>
          <w:b/>
          <w:bCs/>
          <w:i/>
          <w:iCs/>
          <w:u w:val="single"/>
        </w:rPr>
        <w:t xml:space="preserve"> за</w:t>
      </w:r>
      <w:r w:rsidRPr="0048153F">
        <w:rPr>
          <w:b/>
          <w:bCs/>
          <w:i/>
          <w:iCs/>
          <w:u w:val="single"/>
        </w:rPr>
        <w:t xml:space="preserve"> ЄДРПОУ 34753592;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color w:val="000000"/>
          <w:u w:val="single"/>
        </w:rPr>
      </w:pPr>
      <w:r w:rsidRPr="0048153F">
        <w:rPr>
          <w:b/>
          <w:bCs/>
          <w:i/>
          <w:iCs/>
          <w:u w:val="single"/>
        </w:rPr>
        <w:t>ЛОТ№6 -  Код</w:t>
      </w:r>
      <w:r>
        <w:rPr>
          <w:b/>
          <w:bCs/>
          <w:i/>
          <w:iCs/>
          <w:u w:val="single"/>
        </w:rPr>
        <w:t xml:space="preserve"> за</w:t>
      </w:r>
      <w:r w:rsidRPr="0048153F">
        <w:rPr>
          <w:b/>
          <w:bCs/>
          <w:i/>
          <w:iCs/>
          <w:u w:val="single"/>
        </w:rPr>
        <w:t xml:space="preserve"> ЄДРПОУ</w:t>
      </w:r>
      <w:r w:rsidRPr="0048153F">
        <w:rPr>
          <w:b/>
          <w:bCs/>
          <w:i/>
          <w:iCs/>
          <w:color w:val="000000"/>
          <w:u w:val="single"/>
        </w:rPr>
        <w:t xml:space="preserve"> 01188827;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48153F">
        <w:rPr>
          <w:b/>
          <w:bCs/>
          <w:i/>
          <w:iCs/>
          <w:u w:val="single"/>
        </w:rPr>
        <w:t>ЛОТ№7 -  Код</w:t>
      </w:r>
      <w:r>
        <w:rPr>
          <w:b/>
          <w:bCs/>
          <w:i/>
          <w:iCs/>
          <w:u w:val="single"/>
        </w:rPr>
        <w:t xml:space="preserve"> за</w:t>
      </w:r>
      <w:r w:rsidRPr="0048153F">
        <w:rPr>
          <w:b/>
          <w:bCs/>
          <w:i/>
          <w:iCs/>
          <w:u w:val="single"/>
        </w:rPr>
        <w:t xml:space="preserve"> ЄДРПОУ 34090301</w:t>
      </w:r>
      <w:r w:rsidRPr="0048153F">
        <w:rPr>
          <w:b/>
          <w:bCs/>
          <w:i/>
          <w:iCs/>
          <w:color w:val="000000"/>
          <w:u w:val="single"/>
        </w:rPr>
        <w:t>;</w:t>
      </w:r>
    </w:p>
    <w:p w:rsidR="000D350F" w:rsidRPr="0048153F" w:rsidRDefault="000D350F" w:rsidP="0048153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u w:val="single"/>
        </w:rPr>
      </w:pPr>
      <w:r w:rsidRPr="0048153F">
        <w:rPr>
          <w:b/>
          <w:bCs/>
          <w:i/>
          <w:iCs/>
          <w:u w:val="single"/>
        </w:rPr>
        <w:t xml:space="preserve">ЛОТ№8 -  Код </w:t>
      </w:r>
      <w:r>
        <w:rPr>
          <w:b/>
          <w:bCs/>
          <w:i/>
          <w:iCs/>
          <w:u w:val="single"/>
        </w:rPr>
        <w:t xml:space="preserve">за </w:t>
      </w:r>
      <w:r w:rsidRPr="0048153F">
        <w:rPr>
          <w:b/>
          <w:bCs/>
          <w:i/>
          <w:iCs/>
          <w:u w:val="single"/>
        </w:rPr>
        <w:t>ЄДРПОУ 32537926.</w:t>
      </w:r>
    </w:p>
    <w:p w:rsidR="000D350F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925E87">
      <w:pPr>
        <w:ind w:firstLine="708"/>
        <w:jc w:val="both"/>
        <w:rPr>
          <w:sz w:val="28"/>
          <w:szCs w:val="28"/>
        </w:rPr>
      </w:pPr>
      <w:bookmarkStart w:id="18" w:name="BM102"/>
      <w:bookmarkEnd w:id="18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№1 - вул. Соборна, 8, Вінницька обл., м. Вінниця, 21050;</w:t>
      </w:r>
      <w:r w:rsidRPr="00807D8F">
        <w:rPr>
          <w:b/>
          <w:bCs/>
          <w:i/>
          <w:iCs/>
          <w:sz w:val="28"/>
          <w:szCs w:val="28"/>
          <w:u w:val="single"/>
          <w:lang w:eastAsia="en-US"/>
        </w:rPr>
        <w:t xml:space="preserve"> бульвар Т. Шевченка, буд. 18, м. Київ, 01601</w:t>
      </w:r>
      <w:r w:rsidRPr="00807D8F">
        <w:rPr>
          <w:b/>
          <w:bCs/>
          <w:i/>
          <w:iCs/>
          <w:sz w:val="28"/>
          <w:szCs w:val="28"/>
          <w:u w:val="single"/>
        </w:rPr>
        <w:t xml:space="preserve">  тел. (0432) 52 01 21; факс (0432)  52 01 20;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№2 - вул. Дорогожицька, 10, м. Київ,</w:t>
      </w:r>
      <w:r w:rsidRPr="00171F8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07D8F">
        <w:rPr>
          <w:b/>
          <w:bCs/>
          <w:i/>
          <w:iCs/>
          <w:sz w:val="28"/>
          <w:szCs w:val="28"/>
          <w:u w:val="single"/>
        </w:rPr>
        <w:t>04112, тел. (044) 226 22 60; факс (044) 440 87 22;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№3 - вул. Фонтанська дорога, 3, Одеська обл., м. Одеса, 65063,  тел. (0482) 68 57 91; факс (0482)68 57 91;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№4 - вул. Карбишева, 2 Ж, Волинська обл., м. Луцьк, 43023,    тел. (0332) 78 23 80; (067) 334 50 33, факс (0332) 78 23 80;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№5 –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07D8F">
        <w:rPr>
          <w:b/>
          <w:bCs/>
          <w:i/>
          <w:iCs/>
          <w:sz w:val="28"/>
          <w:szCs w:val="28"/>
          <w:u w:val="single"/>
        </w:rPr>
        <w:t>вул. Шевченка, 59, Кіровоградська обл., Долинський район, м. Долинська,  28500,  тел. (05234) 5 09 91; факс (05234) 5 09 91;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№6 - вул. Дерев'янка, 1-А, Харківська обл., м. Харків,  61103, тел. (057) 343 66 44, факс (057) 343 66 44;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№7 –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07D8F">
        <w:rPr>
          <w:b/>
          <w:bCs/>
          <w:i/>
          <w:iCs/>
          <w:sz w:val="28"/>
          <w:szCs w:val="28"/>
          <w:u w:val="single"/>
        </w:rPr>
        <w:t>вул. О. Кобилянської, 43, Чернівецька  обл., м. Сокиряни,  60200,  тел. (03739)  2 06 86, факс (03739)  2 08 88;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807D8F">
        <w:rPr>
          <w:b/>
          <w:bCs/>
          <w:i/>
          <w:iCs/>
          <w:sz w:val="28"/>
          <w:szCs w:val="28"/>
          <w:u w:val="single"/>
        </w:rPr>
        <w:t>ЛОТ №8 –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07D8F">
        <w:rPr>
          <w:b/>
          <w:bCs/>
          <w:i/>
          <w:iCs/>
          <w:sz w:val="28"/>
          <w:szCs w:val="28"/>
          <w:u w:val="single"/>
        </w:rPr>
        <w:t>вул. Соборна,  15 а, Вінницька обл.,  м. Вінниця,  21050, тел. (0432) 67 23 38, факс (0432) 67 60 14.</w:t>
      </w:r>
    </w:p>
    <w:p w:rsidR="000D350F" w:rsidRPr="00807D8F" w:rsidRDefault="000D350F" w:rsidP="00807D8F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0D350F" w:rsidRPr="002D000E" w:rsidRDefault="000D350F" w:rsidP="002D000E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2D000E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>
        <w:rPr>
          <w:b/>
          <w:bCs/>
          <w:i/>
          <w:iCs/>
          <w:sz w:val="28"/>
          <w:szCs w:val="28"/>
          <w:u w:val="single"/>
        </w:rPr>
        <w:t>о</w:t>
      </w:r>
      <w:r w:rsidRPr="002D000E">
        <w:rPr>
          <w:b/>
          <w:bCs/>
          <w:i/>
          <w:iCs/>
          <w:sz w:val="28"/>
          <w:szCs w:val="28"/>
          <w:u w:val="single"/>
        </w:rPr>
        <w:t>ст</w:t>
      </w:r>
      <w:r>
        <w:rPr>
          <w:b/>
          <w:bCs/>
          <w:i/>
          <w:iCs/>
          <w:sz w:val="28"/>
          <w:szCs w:val="28"/>
          <w:u w:val="single"/>
        </w:rPr>
        <w:t>і</w:t>
      </w:r>
      <w:r w:rsidRPr="002D000E">
        <w:rPr>
          <w:b/>
          <w:bCs/>
          <w:i/>
          <w:iCs/>
          <w:sz w:val="28"/>
          <w:szCs w:val="28"/>
          <w:u w:val="single"/>
        </w:rPr>
        <w:t xml:space="preserve">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350F" w:rsidRPr="000E1C28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9" w:name="BM104"/>
      <w:bookmarkEnd w:id="19"/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0D350F" w:rsidRPr="00A62D4B" w:rsidRDefault="000D350F" w:rsidP="00A62D4B">
      <w:pPr>
        <w:ind w:firstLine="708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>Згідно з Законом України</w:t>
      </w:r>
      <w:r w:rsidRPr="00A62D4B">
        <w:rPr>
          <w:color w:val="000000"/>
          <w:spacing w:val="5"/>
          <w:sz w:val="28"/>
          <w:szCs w:val="28"/>
          <w:lang w:eastAsia="ru-RU"/>
        </w:rPr>
        <w:t>“ Про здійснення державних закупівель” від 10.04.14 р. № 1197-</w:t>
      </w:r>
      <w:r w:rsidRPr="00A62D4B">
        <w:rPr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color w:val="000000"/>
          <w:spacing w:val="5"/>
          <w:sz w:val="28"/>
          <w:szCs w:val="28"/>
          <w:lang w:eastAsia="ru-RU"/>
        </w:rPr>
        <w:t>П (</w:t>
      </w:r>
      <w:r>
        <w:rPr>
          <w:color w:val="000000"/>
          <w:spacing w:val="5"/>
          <w:sz w:val="28"/>
          <w:szCs w:val="28"/>
          <w:lang w:eastAsia="ru-RU"/>
        </w:rPr>
        <w:t>ч</w:t>
      </w:r>
      <w:r w:rsidRPr="00A62D4B">
        <w:rPr>
          <w:color w:val="000000"/>
          <w:spacing w:val="5"/>
          <w:sz w:val="28"/>
          <w:szCs w:val="28"/>
          <w:lang w:eastAsia="ru-RU"/>
        </w:rPr>
        <w:t xml:space="preserve">. 2. ст. 39 “Відсутність конкуренції (у тому числі з технічних причин) на  відповідному ринку, внаслідок чого договір про закупівлю може бути укладений лише з одним постачальником, за відсутності при цьому альтернативи” </w:t>
      </w:r>
      <w:r w:rsidRPr="00A62D4B">
        <w:rPr>
          <w:sz w:val="28"/>
          <w:szCs w:val="28"/>
          <w:lang w:eastAsia="ru-RU"/>
        </w:rPr>
        <w:t>та документ</w:t>
      </w:r>
      <w:r>
        <w:rPr>
          <w:sz w:val="28"/>
          <w:szCs w:val="28"/>
          <w:lang w:eastAsia="ru-RU"/>
        </w:rPr>
        <w:t xml:space="preserve">ами наданими Держкомтелерадіо, </w:t>
      </w:r>
      <w:r w:rsidRPr="00A62D4B">
        <w:rPr>
          <w:sz w:val="28"/>
          <w:szCs w:val="28"/>
          <w:lang w:eastAsia="ru-RU"/>
        </w:rPr>
        <w:t>що підтверджують наявність таких умов - застосування переговорної процедури закупівлі телекомунікаційних послуг, здійснюється за такими  вирішальними факторами та вагомими підстави, а саме:</w:t>
      </w:r>
    </w:p>
    <w:p w:rsidR="000D350F" w:rsidRPr="00A62D4B" w:rsidRDefault="000D350F" w:rsidP="00A62D4B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 xml:space="preserve">Відповідно до п. 9 ст. 23 Закону України „Про телебачення та радіомовлення” Ліцензія на мовлення, видана Національною радою, є єдиним і достатнім документом, що надає ліцензіату право відповідно до умов ліцензії здійснювати мовлення, користуватися каналами мовлення за умови наявності у володільців радіоелектронних засобів передбачених законом дозволів на їх експлуатацію” В додатках до ліцензій на мовлення </w:t>
      </w:r>
      <w:r w:rsidRPr="00A62D4B">
        <w:rPr>
          <w:color w:val="000000"/>
          <w:spacing w:val="5"/>
          <w:sz w:val="28"/>
          <w:szCs w:val="28"/>
          <w:lang w:eastAsia="ru-RU"/>
        </w:rPr>
        <w:t>вказані оператори телекомунікацій, які є суб’єктами господарювання, що здійснюють розповсюдження телерадіопрограм із застосуванням власних або орендованих радіоелектронних засобів (РЕЗ) мовлення та, відповідно до Закону України „Про радіочастотний ресурс” № 1876-І</w:t>
      </w:r>
      <w:r w:rsidRPr="00A62D4B">
        <w:rPr>
          <w:color w:val="000000"/>
          <w:spacing w:val="5"/>
          <w:sz w:val="28"/>
          <w:szCs w:val="28"/>
          <w:lang w:val="en-US" w:eastAsia="ru-RU"/>
        </w:rPr>
        <w:t>V</w:t>
      </w:r>
      <w:r w:rsidRPr="00A62D4B">
        <w:rPr>
          <w:color w:val="000000"/>
          <w:spacing w:val="5"/>
          <w:sz w:val="28"/>
          <w:szCs w:val="28"/>
          <w:lang w:eastAsia="ru-RU"/>
        </w:rPr>
        <w:t xml:space="preserve"> від 24.06.2004 р. (п.2, ч.4, ст.5), є користувачами радіочастотного ресурсу.</w:t>
      </w:r>
    </w:p>
    <w:p w:rsidR="000D350F" w:rsidRPr="00A62D4B" w:rsidRDefault="000D350F" w:rsidP="00023DB4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 xml:space="preserve">На замовлення Національної ради України з питань телебачення і радіомовлення, </w:t>
      </w:r>
      <w:r w:rsidRPr="00A62D4B">
        <w:rPr>
          <w:sz w:val="28"/>
          <w:szCs w:val="28"/>
          <w:lang w:eastAsia="ru-RU"/>
        </w:rPr>
        <w:t xml:space="preserve">як єдиного регулятора діяльності у сфері телебачення і радіомовлення згідно з Законом України „Про Національну раду України з питань телебачення і радіомовлення” (розділ ІІІ, ст. 14), </w:t>
      </w:r>
      <w:r w:rsidRPr="00A62D4B">
        <w:rPr>
          <w:color w:val="000000"/>
          <w:spacing w:val="5"/>
          <w:sz w:val="28"/>
          <w:szCs w:val="28"/>
          <w:lang w:eastAsia="ru-RU"/>
        </w:rPr>
        <w:t>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мовлення, враховуючи такі чинники:</w:t>
      </w:r>
    </w:p>
    <w:p w:rsidR="000D350F" w:rsidRPr="00A62D4B" w:rsidRDefault="000D350F" w:rsidP="00023DB4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координати розташування;</w:t>
      </w:r>
    </w:p>
    <w:p w:rsidR="000D350F" w:rsidRPr="00A62D4B" w:rsidRDefault="000D350F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радіочастотний ресурс узгоджений з Міністерством оборони України;</w:t>
      </w:r>
    </w:p>
    <w:p w:rsidR="000D350F" w:rsidRPr="00A62D4B" w:rsidRDefault="000D350F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технічні характеристики радіоелектронних засобів (РЕЗ) оператора;</w:t>
      </w:r>
    </w:p>
    <w:p w:rsidR="000D350F" w:rsidRPr="00A62D4B" w:rsidRDefault="000D350F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характеристики випромінювання сигналу;</w:t>
      </w:r>
    </w:p>
    <w:p w:rsidR="000D350F" w:rsidRPr="00A62D4B" w:rsidRDefault="000D350F" w:rsidP="00A62D4B">
      <w:pPr>
        <w:ind w:left="75"/>
        <w:jc w:val="both"/>
        <w:rPr>
          <w:sz w:val="28"/>
          <w:szCs w:val="28"/>
          <w:lang w:eastAsia="ru-RU"/>
        </w:rPr>
      </w:pPr>
      <w:r w:rsidRPr="00A62D4B">
        <w:rPr>
          <w:color w:val="000000"/>
          <w:spacing w:val="5"/>
          <w:sz w:val="28"/>
          <w:szCs w:val="28"/>
          <w:lang w:eastAsia="ru-RU"/>
        </w:rPr>
        <w:t>- висота підвісу антени  та її коефіцієнт підсилювання що скоординовані на міжнародному рівні та впливають на зону охоплення території сигналом.</w:t>
      </w:r>
    </w:p>
    <w:p w:rsidR="000D350F" w:rsidRPr="00A62D4B" w:rsidRDefault="000D350F" w:rsidP="00A62D4B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>На підставі ліцензій на мовлення, виданих Національною радою, НРКУ закуповує телекомунікаційні послуги у операторів, зазначених в ліцензії, для трансляції радіопрограм на території України у конкретному регіоні з певною зоною охоплення.</w:t>
      </w:r>
    </w:p>
    <w:p w:rsidR="000D350F" w:rsidRPr="00A62D4B" w:rsidRDefault="000D350F" w:rsidP="00A62D4B">
      <w:pPr>
        <w:ind w:firstLine="708"/>
        <w:jc w:val="both"/>
        <w:rPr>
          <w:sz w:val="28"/>
          <w:szCs w:val="28"/>
          <w:lang w:eastAsia="ru-RU"/>
        </w:rPr>
      </w:pPr>
      <w:r w:rsidRPr="00A62D4B">
        <w:rPr>
          <w:sz w:val="28"/>
          <w:szCs w:val="28"/>
          <w:lang w:eastAsia="ru-RU"/>
        </w:rPr>
        <w:t xml:space="preserve">Національна радіокомпанія України, як ліцензіат, зобов’язана виконувати умови ліцензії та відповідає за виконання встановлених вимог </w:t>
      </w:r>
      <w:r w:rsidRPr="0053419F">
        <w:rPr>
          <w:sz w:val="28"/>
          <w:szCs w:val="28"/>
          <w:lang w:eastAsia="ru-RU"/>
        </w:rPr>
        <w:t>Закону України „Про телебачення та радіомовлення”   (п. 7 ст. 27).</w:t>
      </w:r>
    </w:p>
    <w:p w:rsidR="000D350F" w:rsidRPr="002D000E" w:rsidRDefault="000D350F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0D350F" w:rsidRPr="003B0DB7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350F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0D350F" w:rsidRPr="0007731A" w:rsidRDefault="000D350F" w:rsidP="0007731A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07731A">
        <w:rPr>
          <w:b/>
          <w:bCs/>
          <w:i/>
          <w:iCs/>
          <w:sz w:val="28"/>
          <w:szCs w:val="28"/>
          <w:u w:val="single"/>
        </w:rPr>
        <w:t>Листи Державного комітету телебачення і радіомовлення України:</w:t>
      </w:r>
    </w:p>
    <w:p w:rsidR="000D350F" w:rsidRPr="0007731A" w:rsidRDefault="000D350F" w:rsidP="00F05C10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23DB4">
        <w:rPr>
          <w:b/>
          <w:bCs/>
          <w:i/>
          <w:iCs/>
          <w:sz w:val="28"/>
          <w:szCs w:val="28"/>
          <w:u w:val="single"/>
        </w:rPr>
        <w:t xml:space="preserve"> 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104</w:t>
      </w:r>
      <w:r>
        <w:rPr>
          <w:b/>
          <w:bCs/>
          <w:i/>
          <w:iCs/>
          <w:sz w:val="28"/>
          <w:szCs w:val="28"/>
          <w:u w:val="single"/>
        </w:rPr>
        <w:t>5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104</w:t>
      </w:r>
      <w:r>
        <w:rPr>
          <w:b/>
          <w:bCs/>
          <w:i/>
          <w:iCs/>
          <w:sz w:val="28"/>
          <w:szCs w:val="28"/>
          <w:u w:val="single"/>
        </w:rPr>
        <w:t>7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№ 104</w:t>
      </w:r>
      <w:r>
        <w:rPr>
          <w:b/>
          <w:bCs/>
          <w:i/>
          <w:iCs/>
          <w:sz w:val="28"/>
          <w:szCs w:val="28"/>
          <w:u w:val="single"/>
        </w:rPr>
        <w:t>8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1049/29/3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</w:t>
      </w:r>
      <w:r>
        <w:rPr>
          <w:b/>
          <w:bCs/>
          <w:i/>
          <w:iCs/>
          <w:sz w:val="28"/>
          <w:szCs w:val="28"/>
          <w:u w:val="single"/>
        </w:rPr>
        <w:t>50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</w:t>
      </w:r>
      <w:r>
        <w:rPr>
          <w:b/>
          <w:bCs/>
          <w:i/>
          <w:iCs/>
          <w:sz w:val="28"/>
          <w:szCs w:val="28"/>
          <w:u w:val="single"/>
        </w:rPr>
        <w:t>51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</w:t>
      </w:r>
      <w:r>
        <w:rPr>
          <w:b/>
          <w:bCs/>
          <w:i/>
          <w:iCs/>
          <w:sz w:val="28"/>
          <w:szCs w:val="28"/>
          <w:u w:val="single"/>
        </w:rPr>
        <w:t>53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023DB4">
        <w:rPr>
          <w:b/>
          <w:bCs/>
          <w:i/>
          <w:iCs/>
          <w:sz w:val="28"/>
          <w:szCs w:val="28"/>
          <w:u w:val="single"/>
        </w:rPr>
        <w:t xml:space="preserve">від </w:t>
      </w:r>
      <w:r w:rsidRPr="0007731A">
        <w:rPr>
          <w:b/>
          <w:bCs/>
          <w:i/>
          <w:iCs/>
          <w:sz w:val="28"/>
          <w:szCs w:val="28"/>
          <w:u w:val="single"/>
        </w:rPr>
        <w:t>11.03.15р.  № 10</w:t>
      </w:r>
      <w:r>
        <w:rPr>
          <w:b/>
          <w:bCs/>
          <w:i/>
          <w:iCs/>
          <w:sz w:val="28"/>
          <w:szCs w:val="28"/>
          <w:u w:val="single"/>
        </w:rPr>
        <w:t>54</w:t>
      </w:r>
      <w:r w:rsidRPr="0007731A">
        <w:rPr>
          <w:b/>
          <w:bCs/>
          <w:i/>
          <w:iCs/>
          <w:sz w:val="28"/>
          <w:szCs w:val="28"/>
          <w:u w:val="single"/>
        </w:rPr>
        <w:t>/29/3</w:t>
      </w:r>
      <w:r>
        <w:rPr>
          <w:b/>
          <w:bCs/>
          <w:i/>
          <w:iCs/>
          <w:sz w:val="28"/>
          <w:szCs w:val="28"/>
          <w:u w:val="single"/>
        </w:rPr>
        <w:t>.</w:t>
      </w:r>
      <w:bookmarkStart w:id="20" w:name="_GoBack"/>
      <w:bookmarkEnd w:id="20"/>
    </w:p>
    <w:p w:rsidR="000D350F" w:rsidRDefault="000D350F" w:rsidP="0067542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Наказ </w:t>
      </w:r>
      <w:r w:rsidRPr="0007731A">
        <w:rPr>
          <w:b/>
          <w:bCs/>
          <w:i/>
          <w:iCs/>
          <w:sz w:val="28"/>
          <w:szCs w:val="28"/>
          <w:u w:val="single"/>
        </w:rPr>
        <w:t>Державного комітету телебачення і радіомовлення України</w:t>
      </w:r>
      <w:r>
        <w:rPr>
          <w:b/>
          <w:bCs/>
          <w:i/>
          <w:iCs/>
          <w:sz w:val="28"/>
          <w:szCs w:val="28"/>
          <w:u w:val="single"/>
        </w:rPr>
        <w:t xml:space="preserve"> від 30.01.2015р. №11;</w:t>
      </w:r>
    </w:p>
    <w:p w:rsidR="000D350F" w:rsidRPr="00675427" w:rsidRDefault="000D350F" w:rsidP="00675427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Роз’яснення Мінекономрозвитку України від 06.02.2015р. №3302-05/3934-07. </w:t>
      </w:r>
    </w:p>
    <w:p w:rsidR="000D350F" w:rsidRPr="002D000E" w:rsidRDefault="000D350F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350F" w:rsidRPr="00784489" w:rsidRDefault="000D350F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bookmarkStart w:id="21" w:name="BM105"/>
      <w:bookmarkEnd w:id="21"/>
    </w:p>
    <w:p w:rsidR="000D350F" w:rsidRDefault="000D350F" w:rsidP="00784489">
      <w:pPr>
        <w:ind w:firstLine="708"/>
        <w:rPr>
          <w:b/>
          <w:bCs/>
          <w:sz w:val="28"/>
          <w:szCs w:val="28"/>
        </w:rPr>
      </w:pPr>
    </w:p>
    <w:p w:rsidR="000D350F" w:rsidRPr="00784489" w:rsidRDefault="000D350F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0D350F" w:rsidRPr="00784489" w:rsidRDefault="000D350F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0D350F" w:rsidRPr="00CD43BA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Pr="00CD43BA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Pr="00CD43BA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Default="000D350F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350F" w:rsidRPr="001E3EC2" w:rsidRDefault="000D350F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0D350F" w:rsidRPr="001E3EC2" w:rsidRDefault="000D350F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0D350F" w:rsidRPr="001E3EC2" w:rsidRDefault="000D350F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0D350F" w:rsidRPr="001E3EC2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0D350F" w:rsidRPr="001E3EC2" w:rsidRDefault="000D350F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0D350F" w:rsidRPr="00876CAE" w:rsidRDefault="000D350F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0D350F" w:rsidRPr="007417A4" w:rsidRDefault="000D350F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0D350F" w:rsidRPr="007417A4" w:rsidRDefault="000D350F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0D350F" w:rsidRPr="001E3EC2" w:rsidRDefault="000D350F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0D350F" w:rsidRPr="001E3EC2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0D350F" w:rsidRPr="001E3EC2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0D350F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0D350F" w:rsidRPr="001E3EC2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0D350F" w:rsidRPr="001E3EC2" w:rsidRDefault="000D350F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2" w:name="BM115"/>
      <w:bookmarkEnd w:id="22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0D350F" w:rsidRPr="001E3EC2" w:rsidRDefault="000D350F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0D350F" w:rsidRPr="001E3EC2" w:rsidRDefault="000D350F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3" w:name="BM116"/>
      <w:bookmarkEnd w:id="23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0D350F" w:rsidRPr="00990A26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4" w:name="BM117"/>
      <w:bookmarkEnd w:id="24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5" w:name="BM118"/>
      <w:bookmarkEnd w:id="25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9"/>
      <w:bookmarkEnd w:id="26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20"/>
      <w:bookmarkEnd w:id="27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0D350F" w:rsidRPr="001E3EC2" w:rsidRDefault="000D350F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0D350F" w:rsidRDefault="000D350F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0D350F" w:rsidRPr="001E3EC2" w:rsidRDefault="000D350F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0D350F" w:rsidRPr="00C523A6" w:rsidRDefault="000D350F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0D350F" w:rsidRDefault="000D350F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0D350F" w:rsidSect="00D64212">
      <w:headerReference w:type="default" r:id="rId7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0F" w:rsidRDefault="000D350F" w:rsidP="00CD43BA">
      <w:r>
        <w:separator/>
      </w:r>
    </w:p>
  </w:endnote>
  <w:endnote w:type="continuationSeparator" w:id="0">
    <w:p w:rsidR="000D350F" w:rsidRDefault="000D350F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0F" w:rsidRDefault="000D350F" w:rsidP="00CD43BA">
      <w:r>
        <w:separator/>
      </w:r>
    </w:p>
  </w:footnote>
  <w:footnote w:type="continuationSeparator" w:id="0">
    <w:p w:rsidR="000D350F" w:rsidRDefault="000D350F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F" w:rsidRDefault="000D350F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360"/>
    <w:multiLevelType w:val="hybridMultilevel"/>
    <w:tmpl w:val="EA764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16A51B5"/>
    <w:multiLevelType w:val="hybridMultilevel"/>
    <w:tmpl w:val="8DA0C236"/>
    <w:lvl w:ilvl="0" w:tplc="40542B66">
      <w:start w:val="1"/>
      <w:numFmt w:val="decimal"/>
      <w:lvlText w:val="%1."/>
      <w:lvlJc w:val="left"/>
      <w:pPr>
        <w:tabs>
          <w:tab w:val="num" w:pos="1066"/>
        </w:tabs>
        <w:ind w:firstLine="106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07225"/>
    <w:rsid w:val="00023DB4"/>
    <w:rsid w:val="0007731A"/>
    <w:rsid w:val="00080CA0"/>
    <w:rsid w:val="000916BF"/>
    <w:rsid w:val="000D350F"/>
    <w:rsid w:val="000E1B94"/>
    <w:rsid w:val="000E1C28"/>
    <w:rsid w:val="00171F8D"/>
    <w:rsid w:val="00187652"/>
    <w:rsid w:val="001D1625"/>
    <w:rsid w:val="001E3EC2"/>
    <w:rsid w:val="001F2870"/>
    <w:rsid w:val="001F5474"/>
    <w:rsid w:val="00234E1F"/>
    <w:rsid w:val="00277D83"/>
    <w:rsid w:val="0029533D"/>
    <w:rsid w:val="002A3C8B"/>
    <w:rsid w:val="002D000E"/>
    <w:rsid w:val="00311C96"/>
    <w:rsid w:val="003851F2"/>
    <w:rsid w:val="003B0DB7"/>
    <w:rsid w:val="003B6B7A"/>
    <w:rsid w:val="003D35FA"/>
    <w:rsid w:val="00420746"/>
    <w:rsid w:val="0043152E"/>
    <w:rsid w:val="004741A0"/>
    <w:rsid w:val="0048153F"/>
    <w:rsid w:val="004C4AEB"/>
    <w:rsid w:val="00501084"/>
    <w:rsid w:val="00507B7D"/>
    <w:rsid w:val="0052514D"/>
    <w:rsid w:val="00526F80"/>
    <w:rsid w:val="0053419F"/>
    <w:rsid w:val="00537C97"/>
    <w:rsid w:val="00541809"/>
    <w:rsid w:val="005C412A"/>
    <w:rsid w:val="006739CA"/>
    <w:rsid w:val="00675427"/>
    <w:rsid w:val="006E6B62"/>
    <w:rsid w:val="00712103"/>
    <w:rsid w:val="007417A4"/>
    <w:rsid w:val="00784489"/>
    <w:rsid w:val="007B5D5E"/>
    <w:rsid w:val="007C0F9F"/>
    <w:rsid w:val="007D581A"/>
    <w:rsid w:val="00807D8F"/>
    <w:rsid w:val="00876CAE"/>
    <w:rsid w:val="008B22BF"/>
    <w:rsid w:val="00925E87"/>
    <w:rsid w:val="009451FC"/>
    <w:rsid w:val="00962859"/>
    <w:rsid w:val="00990A26"/>
    <w:rsid w:val="009923B6"/>
    <w:rsid w:val="0099668F"/>
    <w:rsid w:val="009F0F3F"/>
    <w:rsid w:val="00A473B9"/>
    <w:rsid w:val="00A473F6"/>
    <w:rsid w:val="00A548A4"/>
    <w:rsid w:val="00A62D4B"/>
    <w:rsid w:val="00AE6B91"/>
    <w:rsid w:val="00BE3E7F"/>
    <w:rsid w:val="00BE6A40"/>
    <w:rsid w:val="00BE6D50"/>
    <w:rsid w:val="00C11246"/>
    <w:rsid w:val="00C523A6"/>
    <w:rsid w:val="00C563B3"/>
    <w:rsid w:val="00CB7763"/>
    <w:rsid w:val="00CC6327"/>
    <w:rsid w:val="00CD43BA"/>
    <w:rsid w:val="00D41CEA"/>
    <w:rsid w:val="00D64212"/>
    <w:rsid w:val="00DF3C42"/>
    <w:rsid w:val="00E07B03"/>
    <w:rsid w:val="00E63982"/>
    <w:rsid w:val="00E73202"/>
    <w:rsid w:val="00F03C89"/>
    <w:rsid w:val="00F05C10"/>
    <w:rsid w:val="00F175C3"/>
    <w:rsid w:val="00F41DCE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character" w:customStyle="1" w:styleId="postbody">
    <w:name w:val="postbody"/>
    <w:basedOn w:val="DefaultParagraphFont"/>
    <w:uiPriority w:val="99"/>
    <w:rsid w:val="00A473F6"/>
  </w:style>
  <w:style w:type="paragraph" w:styleId="ListParagraph">
    <w:name w:val="List Paragraph"/>
    <w:basedOn w:val="Normal"/>
    <w:uiPriority w:val="99"/>
    <w:qFormat/>
    <w:rsid w:val="000773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8715</Words>
  <Characters>4969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2015-03-26T14:29:00Z</cp:lastPrinted>
  <dcterms:created xsi:type="dcterms:W3CDTF">2015-04-01T08:28:00Z</dcterms:created>
  <dcterms:modified xsi:type="dcterms:W3CDTF">2015-04-01T08:28:00Z</dcterms:modified>
</cp:coreProperties>
</file>